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60" w:rsidRPr="008B341A" w:rsidRDefault="007F34B3" w:rsidP="00553860">
      <w:pPr>
        <w:pStyle w:val="afa"/>
        <w:spacing w:after="0" w:line="360" w:lineRule="auto"/>
        <w:rPr>
          <w:rStyle w:val="af7"/>
          <w:rFonts w:ascii="Arial" w:eastAsiaTheme="minorEastAsia" w:hAnsi="Arial" w:cs="Arial"/>
          <w:b/>
        </w:rPr>
      </w:pPr>
      <w:r>
        <w:rPr>
          <w:rStyle w:val="af7"/>
          <w:rFonts w:ascii="Arial" w:hAnsi="Arial" w:cs="Arial"/>
          <w:b/>
          <w:lang w:eastAsia="en-US"/>
        </w:rPr>
        <w:t>3GPP TSG-RAN4 Meeting #</w:t>
      </w:r>
      <w:r w:rsidR="009468DA">
        <w:rPr>
          <w:rStyle w:val="af7"/>
          <w:rFonts w:ascii="Arial" w:eastAsiaTheme="minorEastAsia" w:hAnsi="Arial" w:cs="Arial" w:hint="eastAsia"/>
          <w:b/>
        </w:rPr>
        <w:t>10</w:t>
      </w:r>
      <w:r w:rsidR="00E605F1">
        <w:rPr>
          <w:rStyle w:val="af7"/>
          <w:rFonts w:ascii="Arial" w:eastAsiaTheme="minorEastAsia" w:hAnsi="Arial" w:cs="Arial" w:hint="eastAsia"/>
          <w:b/>
        </w:rPr>
        <w:t>2</w:t>
      </w:r>
      <w:r w:rsidR="00F155FD">
        <w:rPr>
          <w:rStyle w:val="af7"/>
          <w:rFonts w:ascii="Arial" w:eastAsiaTheme="minorEastAsia" w:hAnsi="Arial" w:cs="Arial" w:hint="eastAsia"/>
          <w:b/>
        </w:rPr>
        <w:t>-</w:t>
      </w:r>
      <w:r w:rsidR="007F137C">
        <w:rPr>
          <w:rStyle w:val="af7"/>
          <w:rFonts w:ascii="Arial" w:eastAsiaTheme="minorEastAsia" w:hAnsi="Arial" w:cs="Arial" w:hint="eastAsia"/>
          <w:b/>
        </w:rPr>
        <w:t>e</w:t>
      </w:r>
      <w:r w:rsidR="00553860" w:rsidRPr="008C2D7B">
        <w:rPr>
          <w:rStyle w:val="af7"/>
          <w:rFonts w:ascii="Arial" w:hAnsi="Arial" w:cs="Arial"/>
          <w:b/>
          <w:lang w:eastAsia="en-US"/>
        </w:rPr>
        <w:tab/>
        <w:t xml:space="preserve">                                       </w:t>
      </w:r>
      <w:r w:rsidR="00820B6E">
        <w:rPr>
          <w:rStyle w:val="af7"/>
          <w:rFonts w:ascii="Arial" w:eastAsiaTheme="minorEastAsia" w:hAnsi="Arial" w:cs="Arial" w:hint="eastAsia"/>
          <w:b/>
        </w:rPr>
        <w:t xml:space="preserve">                </w:t>
      </w:r>
      <w:r w:rsidR="00390472" w:rsidRPr="00390472">
        <w:rPr>
          <w:rStyle w:val="af7"/>
          <w:rFonts w:ascii="Arial" w:eastAsiaTheme="minorEastAsia" w:hAnsi="Arial" w:cs="Arial"/>
          <w:b/>
        </w:rPr>
        <w:t>R4-2203877</w:t>
      </w:r>
    </w:p>
    <w:p w:rsidR="00553860" w:rsidRPr="00AC4BED"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8118DB">
        <w:rPr>
          <w:rFonts w:ascii="Arial" w:hAnsi="Arial" w:cs="Arial" w:hint="eastAsia"/>
        </w:rPr>
        <w:t>Feb</w:t>
      </w:r>
      <w:r w:rsidR="0089377B">
        <w:rPr>
          <w:rFonts w:ascii="Arial" w:hAnsi="Arial" w:cs="Arial" w:hint="eastAsia"/>
        </w:rPr>
        <w:t>.</w:t>
      </w:r>
      <w:r w:rsidR="009B4CB6">
        <w:rPr>
          <w:rFonts w:ascii="Arial" w:hAnsi="Arial" w:cs="Arial" w:hint="eastAsia"/>
        </w:rPr>
        <w:t xml:space="preserve"> </w:t>
      </w:r>
      <w:r w:rsidR="008118DB">
        <w:rPr>
          <w:rFonts w:ascii="Arial" w:hAnsi="Arial" w:cs="Arial" w:hint="eastAsia"/>
        </w:rPr>
        <w:t>21</w:t>
      </w:r>
      <w:r w:rsidR="009B4CB6" w:rsidRPr="00715855">
        <w:rPr>
          <w:rFonts w:ascii="Arial" w:hAnsi="Arial" w:cs="Arial"/>
        </w:rPr>
        <w:t xml:space="preserve"> – </w:t>
      </w:r>
      <w:r w:rsidR="008118DB">
        <w:rPr>
          <w:rFonts w:ascii="Arial" w:hAnsi="Arial" w:cs="Arial" w:hint="eastAsia"/>
        </w:rPr>
        <w:t>Mar. 3</w:t>
      </w:r>
      <w:r w:rsidR="00AC4BED">
        <w:rPr>
          <w:rStyle w:val="af7"/>
          <w:rFonts w:ascii="Arial" w:hAnsi="Arial" w:cs="Arial"/>
          <w:b/>
          <w:lang w:eastAsia="en-US"/>
        </w:rPr>
        <w:t>, 202</w:t>
      </w:r>
      <w:r w:rsidR="008B341A">
        <w:rPr>
          <w:rStyle w:val="af7"/>
          <w:rFonts w:ascii="Arial" w:eastAsiaTheme="minorEastAsia" w:hAnsi="Arial" w:cs="Arial" w:hint="eastAsia"/>
          <w:b/>
        </w:rPr>
        <w:t>2</w:t>
      </w:r>
      <w:bookmarkStart w:id="0" w:name="_GoBack"/>
      <w:bookmarkEnd w:id="0"/>
    </w:p>
    <w:p w:rsidR="00553860" w:rsidRPr="00DA3639"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ED240A">
        <w:rPr>
          <w:rStyle w:val="af7"/>
          <w:rFonts w:ascii="Arial" w:eastAsiaTheme="minorEastAsia" w:hAnsi="Arial" w:cs="Arial" w:hint="eastAsia"/>
          <w:b/>
        </w:rPr>
        <w:t>F</w:t>
      </w:r>
      <w:r w:rsidR="00ED240A">
        <w:rPr>
          <w:rStyle w:val="af7"/>
          <w:rFonts w:ascii="Arial" w:eastAsiaTheme="minorEastAsia" w:hAnsi="Arial" w:cs="Arial"/>
          <w:b/>
        </w:rPr>
        <w:t>urther</w:t>
      </w:r>
      <w:r w:rsidR="00ED240A">
        <w:rPr>
          <w:rStyle w:val="af7"/>
          <w:rFonts w:ascii="Arial" w:eastAsiaTheme="minorEastAsia" w:hAnsi="Arial" w:cs="Arial" w:hint="eastAsia"/>
          <w:b/>
        </w:rPr>
        <w:t xml:space="preserve"> d</w:t>
      </w:r>
      <w:r w:rsidRPr="008C2D7B">
        <w:rPr>
          <w:rStyle w:val="af7"/>
          <w:rFonts w:ascii="Arial" w:hAnsi="Arial" w:cs="Arial"/>
          <w:b/>
          <w:lang w:eastAsia="en-US"/>
        </w:rPr>
        <w:t xml:space="preserve">iscussion on </w:t>
      </w:r>
      <w:r w:rsidR="00DA3639">
        <w:rPr>
          <w:rStyle w:val="af7"/>
          <w:rFonts w:ascii="Arial" w:eastAsiaTheme="minorEastAsia" w:hAnsi="Arial" w:cs="Arial" w:hint="eastAsia"/>
          <w:b/>
        </w:rPr>
        <w:t xml:space="preserve">pre-configured </w:t>
      </w:r>
      <w:r w:rsidR="004F7F95">
        <w:rPr>
          <w:rStyle w:val="af7"/>
          <w:rFonts w:ascii="Arial" w:eastAsiaTheme="minorEastAsia" w:hAnsi="Arial" w:cs="Arial" w:hint="eastAsia"/>
          <w:b/>
        </w:rPr>
        <w:t>MG</w:t>
      </w:r>
      <w:r w:rsidR="00DA3639">
        <w:rPr>
          <w:rStyle w:val="af7"/>
          <w:rFonts w:ascii="Arial" w:eastAsiaTheme="minorEastAsia" w:hAnsi="Arial" w:cs="Arial" w:hint="eastAsia"/>
          <w:b/>
        </w:rPr>
        <w:t xml:space="preserve"> pattern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6414EB">
        <w:rPr>
          <w:rStyle w:val="af7"/>
          <w:rFonts w:ascii="Arial" w:eastAsiaTheme="minorEastAsia" w:hAnsi="Arial" w:cs="Arial" w:hint="eastAsia"/>
          <w:b/>
        </w:rPr>
        <w:t>10</w:t>
      </w:r>
      <w:r w:rsidR="00D56CFB">
        <w:rPr>
          <w:rStyle w:val="af7"/>
          <w:rFonts w:ascii="Arial" w:eastAsiaTheme="minorEastAsia" w:hAnsi="Arial" w:cs="Arial"/>
          <w:b/>
        </w:rPr>
        <w:t>.1</w:t>
      </w:r>
      <w:r w:rsidR="0089377B">
        <w:rPr>
          <w:rStyle w:val="af7"/>
          <w:rFonts w:ascii="Arial" w:eastAsiaTheme="minorEastAsia" w:hAnsi="Arial" w:cs="Arial" w:hint="eastAsia"/>
          <w:b/>
        </w:rPr>
        <w:t>1</w:t>
      </w:r>
      <w:r w:rsidR="00D56CFB">
        <w:rPr>
          <w:rStyle w:val="af7"/>
          <w:rFonts w:ascii="Arial" w:eastAsiaTheme="minorEastAsia" w:hAnsi="Arial" w:cs="Arial"/>
          <w:b/>
        </w:rPr>
        <w:t>.2.</w:t>
      </w:r>
      <w:r w:rsidR="00D56CFB">
        <w:rPr>
          <w:rStyle w:val="af7"/>
          <w:rFonts w:ascii="Arial" w:eastAsiaTheme="minorEastAsia" w:hAnsi="Arial" w:cs="Arial" w:hint="eastAsia"/>
          <w:b/>
        </w:rPr>
        <w:t>1</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8C2D7B">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9E6299" w:rsidRDefault="00736B27" w:rsidP="00A640B9">
      <w:pPr>
        <w:pStyle w:val="af0"/>
        <w:spacing w:after="120" w:line="360" w:lineRule="auto"/>
        <w:rPr>
          <w:lang w:eastAsia="zh-CN"/>
        </w:rPr>
      </w:pPr>
      <w:r w:rsidRPr="00E24062">
        <w:t xml:space="preserve">In </w:t>
      </w:r>
      <w:r w:rsidR="00872308">
        <w:rPr>
          <w:rFonts w:hint="eastAsia"/>
          <w:lang w:eastAsia="zh-CN"/>
        </w:rPr>
        <w:t>RAN4#10</w:t>
      </w:r>
      <w:r w:rsidR="00961CB4">
        <w:rPr>
          <w:rFonts w:hint="eastAsia"/>
          <w:lang w:eastAsia="zh-CN"/>
        </w:rPr>
        <w:t>1</w:t>
      </w:r>
      <w:r w:rsidR="008B4186">
        <w:rPr>
          <w:rFonts w:hint="eastAsia"/>
          <w:lang w:eastAsia="zh-CN"/>
        </w:rPr>
        <w:t>bis</w:t>
      </w:r>
      <w:r w:rsidR="00670951">
        <w:rPr>
          <w:rFonts w:hint="eastAsia"/>
          <w:lang w:eastAsia="zh-CN"/>
        </w:rPr>
        <w:t>-</w:t>
      </w:r>
      <w:r>
        <w:rPr>
          <w:rFonts w:hint="eastAsia"/>
          <w:lang w:eastAsia="zh-CN"/>
        </w:rPr>
        <w:t xml:space="preserve">e </w:t>
      </w:r>
      <w:r w:rsidRPr="00E24062">
        <w:t xml:space="preserve">meeting, </w:t>
      </w:r>
      <w:r>
        <w:rPr>
          <w:rFonts w:hint="eastAsia"/>
          <w:lang w:eastAsia="zh-CN"/>
        </w:rPr>
        <w:t xml:space="preserve">the item on </w:t>
      </w:r>
      <w:r w:rsidR="00755ECC">
        <w:rPr>
          <w:rFonts w:hint="eastAsia"/>
          <w:lang w:eastAsia="zh-CN"/>
        </w:rPr>
        <w:t>pre-configured MG pattern</w:t>
      </w:r>
      <w:r>
        <w:rPr>
          <w:rFonts w:hint="eastAsia"/>
          <w:lang w:eastAsia="zh-CN"/>
        </w:rPr>
        <w:t xml:space="preserve"> was </w:t>
      </w:r>
      <w:r w:rsidR="003D0F4F">
        <w:rPr>
          <w:rFonts w:hint="eastAsia"/>
          <w:lang w:eastAsia="zh-CN"/>
        </w:rPr>
        <w:t>further</w:t>
      </w:r>
      <w:r>
        <w:rPr>
          <w:rFonts w:hint="eastAsia"/>
          <w:lang w:eastAsia="zh-CN"/>
        </w:rPr>
        <w:t xml:space="preserve"> discussed and </w:t>
      </w:r>
      <w:r w:rsidR="009D4CE2" w:rsidRPr="009D4CE2">
        <w:rPr>
          <w:lang w:eastAsia="zh-CN"/>
        </w:rPr>
        <w:t>some consensuses are reached</w:t>
      </w:r>
      <w:r w:rsidR="00017C52">
        <w:rPr>
          <w:rFonts w:hint="eastAsia"/>
          <w:lang w:eastAsia="zh-CN"/>
        </w:rPr>
        <w:t>.</w:t>
      </w:r>
      <w:r w:rsidR="009E6299">
        <w:rPr>
          <w:rFonts w:hint="eastAsia"/>
          <w:lang w:eastAsia="zh-CN"/>
        </w:rPr>
        <w:t xml:space="preserve"> </w:t>
      </w:r>
      <w:r w:rsidR="00017C52">
        <w:rPr>
          <w:rFonts w:hint="eastAsia"/>
          <w:lang w:eastAsia="zh-CN"/>
        </w:rPr>
        <w:t>T</w:t>
      </w:r>
      <w:r w:rsidR="009E6299">
        <w:rPr>
          <w:rFonts w:hint="eastAsia"/>
          <w:lang w:eastAsia="zh-CN"/>
        </w:rPr>
        <w:t>he agreements are captured in the approved WF [1] as below</w:t>
      </w:r>
      <w:r w:rsidR="00E948D8">
        <w:rPr>
          <w:rFonts w:hint="eastAsia"/>
          <w:lang w:eastAsia="zh-CN"/>
        </w:rPr>
        <w:t xml:space="preserve">. </w:t>
      </w:r>
    </w:p>
    <w:tbl>
      <w:tblPr>
        <w:tblStyle w:val="af3"/>
        <w:tblW w:w="0" w:type="auto"/>
        <w:tblLook w:val="04A0" w:firstRow="1" w:lastRow="0" w:firstColumn="1" w:lastColumn="0" w:noHBand="0" w:noVBand="1"/>
      </w:tblPr>
      <w:tblGrid>
        <w:gridCol w:w="9857"/>
      </w:tblGrid>
      <w:tr w:rsidR="00FC0BEE" w:rsidTr="00FC0BEE">
        <w:tc>
          <w:tcPr>
            <w:tcW w:w="9857" w:type="dxa"/>
          </w:tcPr>
          <w:p w:rsidR="0062669D" w:rsidRPr="0062669D" w:rsidRDefault="0062669D" w:rsidP="0062669D">
            <w:pPr>
              <w:rPr>
                <w:rFonts w:eastAsiaTheme="minorEastAsia"/>
                <w:b/>
                <w:bCs/>
                <w:u w:val="single"/>
              </w:rPr>
            </w:pPr>
            <w:r w:rsidRPr="0062669D">
              <w:rPr>
                <w:rFonts w:eastAsiaTheme="minorEastAsia"/>
                <w:b/>
                <w:bCs/>
                <w:u w:val="single"/>
              </w:rPr>
              <w:t>How to indicate the initial status (activation/deactivation) of Pre-MG at or during configuration for the  rule-based activation/deactivation pre-MG</w:t>
            </w:r>
          </w:p>
          <w:p w:rsidR="0061778B" w:rsidRPr="002B20E3" w:rsidRDefault="0062669D" w:rsidP="0062669D">
            <w:pPr>
              <w:pStyle w:val="af8"/>
              <w:numPr>
                <w:ilvl w:val="0"/>
                <w:numId w:val="13"/>
              </w:numPr>
              <w:spacing w:after="120" w:line="252" w:lineRule="auto"/>
              <w:ind w:firstLineChars="0"/>
              <w:rPr>
                <w:rFonts w:eastAsiaTheme="minorEastAsia"/>
              </w:rPr>
            </w:pPr>
            <w:r w:rsidRPr="00722419">
              <w:rPr>
                <w:rFonts w:eastAsiaTheme="minorEastAsia"/>
                <w:bCs/>
                <w:sz w:val="20"/>
                <w:szCs w:val="20"/>
              </w:rPr>
              <w:t>For autonomous activation/deactivation of Pre-MG, the capable UE can determine the pre-MG status autonomously by Pre-MG (de)activation rules define in TS38.133 without any additional signalling.</w:t>
            </w:r>
            <w:r w:rsidR="002B20E3">
              <w:rPr>
                <w:rFonts w:eastAsiaTheme="minorEastAsia" w:hint="eastAsia"/>
                <w:bCs/>
                <w:sz w:val="20"/>
                <w:szCs w:val="20"/>
              </w:rPr>
              <w:t xml:space="preserve"> </w:t>
            </w:r>
          </w:p>
          <w:p w:rsidR="00AA4564" w:rsidRPr="00F84D8A" w:rsidRDefault="00AA4564" w:rsidP="00AA4564">
            <w:pPr>
              <w:rPr>
                <w:rFonts w:eastAsiaTheme="minorEastAsia"/>
                <w:b/>
                <w:bCs/>
                <w:u w:val="single"/>
              </w:rPr>
            </w:pPr>
            <w:r w:rsidRPr="00F84D8A">
              <w:rPr>
                <w:rFonts w:eastAsiaTheme="minorEastAsia"/>
                <w:b/>
                <w:bCs/>
                <w:u w:val="single"/>
              </w:rPr>
              <w:t xml:space="preserve">Signaling parameters of Pre-MG </w:t>
            </w:r>
          </w:p>
          <w:p w:rsidR="002B20E3" w:rsidRPr="00F84D8A" w:rsidRDefault="00AA4564" w:rsidP="00F84D8A">
            <w:pPr>
              <w:pStyle w:val="af8"/>
              <w:numPr>
                <w:ilvl w:val="0"/>
                <w:numId w:val="13"/>
              </w:numPr>
              <w:spacing w:after="120" w:line="252" w:lineRule="auto"/>
              <w:ind w:firstLineChars="0"/>
              <w:rPr>
                <w:rFonts w:eastAsiaTheme="minorEastAsia"/>
                <w:bCs/>
                <w:sz w:val="20"/>
                <w:szCs w:val="20"/>
              </w:rPr>
            </w:pPr>
            <w:r w:rsidRPr="00F84D8A">
              <w:rPr>
                <w:rFonts w:eastAsiaTheme="minorEastAsia"/>
                <w:bCs/>
                <w:sz w:val="20"/>
                <w:szCs w:val="20"/>
              </w:rPr>
              <w:t>No further discussion on this. RAN4 can inform RAN2 the further agreements related to common and different signalling parameters of Pre-MG beside these including in the previous LSs out to RAN2.</w:t>
            </w:r>
          </w:p>
          <w:p w:rsidR="00AA4564" w:rsidRPr="00F84D8A" w:rsidRDefault="00AA4564" w:rsidP="00AA4564">
            <w:pPr>
              <w:rPr>
                <w:rFonts w:eastAsiaTheme="minorEastAsia"/>
                <w:b/>
                <w:bCs/>
                <w:u w:val="single"/>
              </w:rPr>
            </w:pPr>
            <w:r w:rsidRPr="00F84D8A">
              <w:rPr>
                <w:rFonts w:eastAsiaTheme="minorEastAsia"/>
                <w:b/>
                <w:bCs/>
                <w:u w:val="single"/>
              </w:rPr>
              <w:t xml:space="preserve">Pre-MG activation/deactivation criteria </w:t>
            </w:r>
          </w:p>
          <w:p w:rsidR="00AA4564" w:rsidRPr="00F84D8A" w:rsidRDefault="00AA4564" w:rsidP="00F84D8A">
            <w:pPr>
              <w:pStyle w:val="af8"/>
              <w:numPr>
                <w:ilvl w:val="0"/>
                <w:numId w:val="13"/>
              </w:numPr>
              <w:spacing w:after="120" w:line="252" w:lineRule="auto"/>
              <w:ind w:firstLineChars="0"/>
              <w:rPr>
                <w:rFonts w:eastAsiaTheme="minorEastAsia"/>
                <w:bCs/>
                <w:sz w:val="20"/>
                <w:szCs w:val="20"/>
              </w:rPr>
            </w:pPr>
            <w:r w:rsidRPr="00F84D8A">
              <w:rPr>
                <w:rFonts w:eastAsiaTheme="minorEastAsia"/>
                <w:bCs/>
                <w:sz w:val="20"/>
                <w:szCs w:val="20"/>
              </w:rPr>
              <w:t>The general applicability rules in TS38.133 for measurement gap for SSB, CSI-RS L3 in TS38.133 can be reused as the rules for UE to autonomously determine the pre-MG activation/deactivation status</w:t>
            </w:r>
          </w:p>
          <w:p w:rsidR="00AA4564" w:rsidRPr="00F84D8A" w:rsidRDefault="00AA4564" w:rsidP="00F84D8A">
            <w:pPr>
              <w:pStyle w:val="af8"/>
              <w:numPr>
                <w:ilvl w:val="1"/>
                <w:numId w:val="13"/>
              </w:numPr>
              <w:spacing w:after="120" w:line="252" w:lineRule="auto"/>
              <w:ind w:firstLineChars="0"/>
              <w:rPr>
                <w:rFonts w:eastAsiaTheme="minorEastAsia"/>
                <w:bCs/>
                <w:sz w:val="20"/>
                <w:szCs w:val="20"/>
              </w:rPr>
            </w:pPr>
            <w:r w:rsidRPr="00F84D8A">
              <w:rPr>
                <w:rFonts w:eastAsiaTheme="minorEastAsia"/>
                <w:bCs/>
                <w:sz w:val="20"/>
                <w:szCs w:val="20"/>
              </w:rPr>
              <w:t>If MG is not required by any of the configured measurements, the MG is deactivated.</w:t>
            </w:r>
          </w:p>
          <w:p w:rsidR="00AA4564" w:rsidRPr="00F84D8A" w:rsidRDefault="00AA4564" w:rsidP="00F84D8A">
            <w:pPr>
              <w:pStyle w:val="af8"/>
              <w:numPr>
                <w:ilvl w:val="1"/>
                <w:numId w:val="13"/>
              </w:numPr>
              <w:spacing w:after="120" w:line="252" w:lineRule="auto"/>
              <w:ind w:firstLineChars="0"/>
              <w:rPr>
                <w:rFonts w:eastAsiaTheme="minorEastAsia"/>
                <w:bCs/>
                <w:sz w:val="20"/>
                <w:szCs w:val="20"/>
              </w:rPr>
            </w:pPr>
            <w:r w:rsidRPr="00F84D8A">
              <w:rPr>
                <w:rFonts w:eastAsiaTheme="minorEastAsia"/>
                <w:bCs/>
                <w:sz w:val="20"/>
                <w:szCs w:val="20"/>
              </w:rPr>
              <w:t>If MG is required by one or more of the configured measurements, the MG is activated.</w:t>
            </w:r>
          </w:p>
          <w:p w:rsidR="00AA4564" w:rsidRPr="00F84D8A" w:rsidRDefault="00AA4564" w:rsidP="00F84D8A">
            <w:pPr>
              <w:rPr>
                <w:rFonts w:eastAsiaTheme="minorEastAsia"/>
                <w:b/>
                <w:bCs/>
                <w:u w:val="single"/>
              </w:rPr>
            </w:pPr>
            <w:r w:rsidRPr="00F84D8A">
              <w:rPr>
                <w:rFonts w:eastAsiaTheme="minorEastAsia"/>
                <w:b/>
                <w:bCs/>
                <w:u w:val="single"/>
              </w:rPr>
              <w:t>Which mechanism is used to determine the pre-MG activation/deactivation status</w:t>
            </w:r>
          </w:p>
          <w:p w:rsidR="00AA4564" w:rsidRPr="00F84D8A" w:rsidRDefault="00AA4564" w:rsidP="00F84D8A">
            <w:pPr>
              <w:pStyle w:val="af8"/>
              <w:numPr>
                <w:ilvl w:val="0"/>
                <w:numId w:val="13"/>
              </w:numPr>
              <w:spacing w:after="120" w:line="252" w:lineRule="auto"/>
              <w:ind w:firstLineChars="0"/>
              <w:rPr>
                <w:rFonts w:eastAsiaTheme="minorEastAsia"/>
                <w:bCs/>
                <w:sz w:val="20"/>
                <w:szCs w:val="20"/>
              </w:rPr>
            </w:pPr>
            <w:r w:rsidRPr="00F84D8A">
              <w:rPr>
                <w:rFonts w:eastAsiaTheme="minorEastAsia"/>
                <w:bCs/>
                <w:sz w:val="20"/>
                <w:szCs w:val="20"/>
              </w:rPr>
              <w:t>If the network provides the activation/deactivation status via RRC signalling, the UE will not use autonomous rules to determine the activation/deactivation status of the pre-configured MG. It will follow the per-BWP status indicated by the network</w:t>
            </w:r>
          </w:p>
          <w:p w:rsidR="00690AF1" w:rsidRPr="00F84D8A" w:rsidRDefault="00690AF1" w:rsidP="00690AF1">
            <w:pPr>
              <w:rPr>
                <w:rFonts w:eastAsiaTheme="minorEastAsia"/>
                <w:b/>
                <w:bCs/>
                <w:u w:val="single"/>
              </w:rPr>
            </w:pPr>
            <w:r w:rsidRPr="00F84D8A">
              <w:rPr>
                <w:rFonts w:eastAsiaTheme="minorEastAsia"/>
                <w:b/>
                <w:bCs/>
                <w:u w:val="single"/>
              </w:rPr>
              <w:t>Criteria for the rule-based pre-MG (de)activation under CA</w:t>
            </w:r>
            <w:r w:rsidRPr="00F84D8A">
              <w:rPr>
                <w:rFonts w:eastAsiaTheme="minorEastAsia" w:hint="eastAsia"/>
                <w:b/>
                <w:bCs/>
                <w:u w:val="single"/>
              </w:rPr>
              <w:t xml:space="preserve"> </w:t>
            </w:r>
          </w:p>
          <w:p w:rsidR="00690AF1" w:rsidRPr="00F84D8A" w:rsidRDefault="00690AF1" w:rsidP="00F84D8A">
            <w:pPr>
              <w:pStyle w:val="af8"/>
              <w:numPr>
                <w:ilvl w:val="0"/>
                <w:numId w:val="13"/>
              </w:numPr>
              <w:spacing w:after="120" w:line="252" w:lineRule="auto"/>
              <w:ind w:firstLineChars="0"/>
              <w:rPr>
                <w:rFonts w:eastAsiaTheme="minorEastAsia"/>
                <w:bCs/>
                <w:sz w:val="20"/>
                <w:szCs w:val="20"/>
              </w:rPr>
            </w:pPr>
            <w:r w:rsidRPr="00F84D8A">
              <w:rPr>
                <w:rFonts w:eastAsiaTheme="minorEastAsia"/>
                <w:bCs/>
                <w:sz w:val="20"/>
                <w:szCs w:val="20"/>
              </w:rPr>
              <w:t>Same criteria as these for single CC rule-based pre-MG activation/deactivation  [refer to Issue 2-2 Option 1]</w:t>
            </w:r>
          </w:p>
          <w:p w:rsidR="00690AF1" w:rsidRPr="00F84D8A" w:rsidRDefault="00690AF1" w:rsidP="00690AF1">
            <w:pPr>
              <w:rPr>
                <w:rFonts w:eastAsiaTheme="minorEastAsia"/>
                <w:b/>
                <w:bCs/>
                <w:u w:val="single"/>
              </w:rPr>
            </w:pPr>
            <w:r w:rsidRPr="00F84D8A">
              <w:rPr>
                <w:rFonts w:eastAsiaTheme="minorEastAsia"/>
                <w:b/>
                <w:bCs/>
                <w:u w:val="single"/>
              </w:rPr>
              <w:t>Whether Pre-MG can be applied under CA in Rel17</w:t>
            </w:r>
          </w:p>
          <w:p w:rsidR="002B20E3" w:rsidRPr="00F84D8A" w:rsidRDefault="00690AF1" w:rsidP="00F84D8A">
            <w:pPr>
              <w:pStyle w:val="af8"/>
              <w:numPr>
                <w:ilvl w:val="0"/>
                <w:numId w:val="13"/>
              </w:numPr>
              <w:spacing w:after="120" w:line="252" w:lineRule="auto"/>
              <w:ind w:firstLineChars="0"/>
              <w:rPr>
                <w:rFonts w:eastAsiaTheme="minorEastAsia"/>
                <w:bCs/>
                <w:sz w:val="20"/>
                <w:szCs w:val="20"/>
              </w:rPr>
            </w:pPr>
            <w:r w:rsidRPr="00F84D8A">
              <w:rPr>
                <w:rFonts w:eastAsiaTheme="minorEastAsia"/>
                <w:bCs/>
                <w:sz w:val="20"/>
                <w:szCs w:val="20"/>
              </w:rPr>
              <w:t>Support pre-configured MG under CA but based on BWP switching on a single CC</w:t>
            </w:r>
          </w:p>
          <w:p w:rsidR="00690AF1" w:rsidRPr="00F84D8A" w:rsidRDefault="00690AF1" w:rsidP="00690AF1">
            <w:pPr>
              <w:rPr>
                <w:rFonts w:eastAsiaTheme="minorEastAsia"/>
                <w:b/>
                <w:bCs/>
                <w:u w:val="single"/>
              </w:rPr>
            </w:pPr>
            <w:r w:rsidRPr="00F84D8A">
              <w:rPr>
                <w:rFonts w:eastAsiaTheme="minorEastAsia"/>
                <w:b/>
                <w:bCs/>
                <w:u w:val="single"/>
              </w:rPr>
              <w:t>The additional transition time for Activation/Deactivation Delay</w:t>
            </w:r>
            <w:r w:rsidRPr="00F84D8A">
              <w:rPr>
                <w:rFonts w:eastAsiaTheme="minorEastAsia" w:hint="eastAsia"/>
                <w:b/>
                <w:bCs/>
                <w:u w:val="single"/>
              </w:rPr>
              <w:t xml:space="preserve"> </w:t>
            </w:r>
          </w:p>
          <w:p w:rsidR="00690AF1" w:rsidRPr="00F84D8A" w:rsidRDefault="00690AF1" w:rsidP="00F84D8A">
            <w:pPr>
              <w:pStyle w:val="af8"/>
              <w:numPr>
                <w:ilvl w:val="0"/>
                <w:numId w:val="13"/>
              </w:numPr>
              <w:spacing w:after="120" w:line="252" w:lineRule="auto"/>
              <w:ind w:firstLineChars="0"/>
              <w:rPr>
                <w:rFonts w:eastAsiaTheme="minorEastAsia"/>
                <w:bCs/>
                <w:sz w:val="20"/>
                <w:szCs w:val="20"/>
              </w:rPr>
            </w:pPr>
            <w:r w:rsidRPr="00F84D8A">
              <w:rPr>
                <w:rFonts w:eastAsiaTheme="minorEastAsia"/>
                <w:bCs/>
                <w:sz w:val="20"/>
                <w:szCs w:val="20"/>
              </w:rPr>
              <w:t>In case of pre-MG activation/deactivation triggered by DCI-based/timer BWP switching, the additional transition time for activation/deactivation delay</w:t>
            </w:r>
            <w:r w:rsidRPr="00F84D8A" w:rsidDel="00A21DE1">
              <w:rPr>
                <w:rFonts w:eastAsiaTheme="minorEastAsia"/>
                <w:bCs/>
                <w:sz w:val="20"/>
                <w:szCs w:val="20"/>
              </w:rPr>
              <w:t xml:space="preserve"> </w:t>
            </w:r>
            <w:r w:rsidRPr="00F84D8A">
              <w:rPr>
                <w:rFonts w:eastAsiaTheme="minorEastAsia"/>
                <w:bCs/>
                <w:sz w:val="20"/>
                <w:szCs w:val="20"/>
              </w:rPr>
              <w:t>after BWP switch is 5ms</w:t>
            </w:r>
            <w:r w:rsidRPr="00F84D8A">
              <w:rPr>
                <w:rFonts w:eastAsiaTheme="minorEastAsia" w:hint="eastAsia"/>
                <w:bCs/>
                <w:sz w:val="20"/>
                <w:szCs w:val="20"/>
              </w:rPr>
              <w:t>.</w:t>
            </w:r>
            <w:r w:rsidRPr="00F84D8A">
              <w:rPr>
                <w:rFonts w:eastAsiaTheme="minorEastAsia"/>
                <w:bCs/>
                <w:sz w:val="20"/>
                <w:szCs w:val="20"/>
              </w:rPr>
              <w:t xml:space="preserve"> </w:t>
            </w:r>
          </w:p>
          <w:p w:rsidR="00690AF1" w:rsidRPr="00F84D8A" w:rsidRDefault="00690AF1" w:rsidP="00690AF1">
            <w:pPr>
              <w:rPr>
                <w:rFonts w:eastAsiaTheme="minorEastAsia"/>
                <w:b/>
                <w:bCs/>
                <w:u w:val="single"/>
              </w:rPr>
            </w:pPr>
            <w:r w:rsidRPr="00F84D8A">
              <w:rPr>
                <w:rFonts w:eastAsiaTheme="minorEastAsia"/>
                <w:b/>
                <w:bCs/>
                <w:u w:val="single"/>
              </w:rPr>
              <w:t>When does pre-MG activation/deactivation take effects</w:t>
            </w:r>
            <w:r w:rsidRPr="00F84D8A">
              <w:rPr>
                <w:rFonts w:eastAsiaTheme="minorEastAsia" w:hint="eastAsia"/>
                <w:b/>
                <w:bCs/>
                <w:u w:val="single"/>
              </w:rPr>
              <w:t xml:space="preserve"> </w:t>
            </w:r>
          </w:p>
          <w:p w:rsidR="00690AF1" w:rsidRPr="00690AF1" w:rsidRDefault="00690AF1" w:rsidP="00F84D8A">
            <w:pPr>
              <w:pStyle w:val="af8"/>
              <w:numPr>
                <w:ilvl w:val="0"/>
                <w:numId w:val="13"/>
              </w:numPr>
              <w:spacing w:after="120" w:line="252" w:lineRule="auto"/>
              <w:ind w:firstLineChars="0"/>
              <w:rPr>
                <w:b/>
                <w:bCs/>
              </w:rPr>
            </w:pPr>
            <w:r w:rsidRPr="00F84D8A">
              <w:rPr>
                <w:rFonts w:eastAsiaTheme="minorEastAsia"/>
                <w:bCs/>
                <w:sz w:val="20"/>
                <w:szCs w:val="20"/>
              </w:rPr>
              <w:t>Activation and deactivation of pre-MG takes effect from the first MG occasion after the activation and deactivation delay</w:t>
            </w:r>
            <w:r w:rsidRPr="00F84D8A">
              <w:rPr>
                <w:rFonts w:eastAsiaTheme="minorEastAsia" w:hint="eastAsia"/>
                <w:bCs/>
                <w:sz w:val="20"/>
                <w:szCs w:val="20"/>
              </w:rPr>
              <w:t xml:space="preserve">. </w:t>
            </w:r>
          </w:p>
        </w:tc>
      </w:tr>
    </w:tbl>
    <w:p w:rsidR="00736B27" w:rsidRPr="009D4CE2" w:rsidRDefault="00207DB9" w:rsidP="0092567F">
      <w:pPr>
        <w:pStyle w:val="af0"/>
        <w:spacing w:beforeLines="50" w:before="120" w:after="120" w:line="360" w:lineRule="auto"/>
        <w:rPr>
          <w:lang w:eastAsia="zh-CN"/>
        </w:rPr>
      </w:pPr>
      <w:r>
        <w:rPr>
          <w:lang w:eastAsia="zh-CN"/>
        </w:rPr>
        <w:lastRenderedPageBreak/>
        <w:t>T</w:t>
      </w:r>
      <w:r>
        <w:rPr>
          <w:rFonts w:hint="eastAsia"/>
          <w:lang w:eastAsia="zh-CN"/>
        </w:rPr>
        <w:t xml:space="preserve">he conclusions related to </w:t>
      </w:r>
      <w:r>
        <w:rPr>
          <w:lang w:eastAsia="zh-CN"/>
        </w:rPr>
        <w:t>signalling</w:t>
      </w:r>
      <w:r>
        <w:rPr>
          <w:rFonts w:hint="eastAsia"/>
          <w:lang w:eastAsia="zh-CN"/>
        </w:rPr>
        <w:t xml:space="preserve"> design have been informed to RAN2 in the LS [2]. </w:t>
      </w:r>
      <w:r w:rsidR="00AF0BF5">
        <w:rPr>
          <w:lang w:eastAsia="zh-CN"/>
        </w:rPr>
        <w:t>B</w:t>
      </w:r>
      <w:r w:rsidR="00AF0BF5">
        <w:rPr>
          <w:rFonts w:hint="eastAsia"/>
          <w:lang w:eastAsia="zh-CN"/>
        </w:rPr>
        <w:t xml:space="preserve">ut there are still </w:t>
      </w:r>
      <w:r w:rsidR="00375F15">
        <w:rPr>
          <w:rFonts w:hint="eastAsia"/>
          <w:lang w:eastAsia="zh-CN"/>
        </w:rPr>
        <w:t>some</w:t>
      </w:r>
      <w:r w:rsidR="00AF0BF5">
        <w:rPr>
          <w:rFonts w:hint="eastAsia"/>
          <w:lang w:eastAsia="zh-CN"/>
        </w:rPr>
        <w:t xml:space="preserve"> issues </w:t>
      </w:r>
      <w:r w:rsidR="00251501">
        <w:rPr>
          <w:rFonts w:hint="eastAsia"/>
          <w:lang w:eastAsia="zh-CN"/>
        </w:rPr>
        <w:t>not agreed</w:t>
      </w:r>
      <w:r w:rsidR="00AF0BF5">
        <w:rPr>
          <w:rFonts w:hint="eastAsia"/>
          <w:lang w:eastAsia="zh-CN"/>
        </w:rPr>
        <w:t xml:space="preserve"> and t</w:t>
      </w:r>
      <w:r w:rsidR="004D0912">
        <w:rPr>
          <w:rFonts w:hint="eastAsia"/>
          <w:lang w:eastAsia="zh-CN"/>
        </w:rPr>
        <w:t xml:space="preserve">he </w:t>
      </w:r>
      <w:r w:rsidR="00AF0BF5">
        <w:rPr>
          <w:rFonts w:hint="eastAsia"/>
          <w:lang w:eastAsia="zh-CN"/>
        </w:rPr>
        <w:t>candidate options</w:t>
      </w:r>
      <w:r w:rsidR="004D0912">
        <w:rPr>
          <w:rFonts w:hint="eastAsia"/>
          <w:lang w:eastAsia="zh-CN"/>
        </w:rPr>
        <w:t xml:space="preserve"> are </w:t>
      </w:r>
      <w:r w:rsidR="00AF0BF5">
        <w:rPr>
          <w:rFonts w:hint="eastAsia"/>
          <w:lang w:eastAsia="zh-CN"/>
        </w:rPr>
        <w:t xml:space="preserve">also </w:t>
      </w:r>
      <w:r w:rsidR="00736B27">
        <w:rPr>
          <w:rFonts w:hint="eastAsia"/>
          <w:lang w:eastAsia="zh-CN"/>
        </w:rPr>
        <w:t xml:space="preserve">captured in the approved WF [1]. </w:t>
      </w:r>
      <w:r w:rsidR="00736B27" w:rsidRPr="00E24062">
        <w:rPr>
          <w:lang w:eastAsia="zh-CN"/>
        </w:rPr>
        <w:t>I</w:t>
      </w:r>
      <w:r w:rsidR="00736B27" w:rsidRPr="00E24062">
        <w:rPr>
          <w:rFonts w:hint="eastAsia"/>
          <w:lang w:eastAsia="zh-CN"/>
        </w:rPr>
        <w:t xml:space="preserve">n this paper, we have some </w:t>
      </w:r>
      <w:r w:rsidR="00AC5DCE">
        <w:rPr>
          <w:rFonts w:hint="eastAsia"/>
          <w:lang w:eastAsia="zh-CN"/>
        </w:rPr>
        <w:t xml:space="preserve">further </w:t>
      </w:r>
      <w:r w:rsidR="00736B27" w:rsidRPr="00E24062">
        <w:rPr>
          <w:rFonts w:hint="eastAsia"/>
          <w:lang w:eastAsia="zh-CN"/>
        </w:rPr>
        <w:t>discussion</w:t>
      </w:r>
      <w:r w:rsidR="00736B27">
        <w:rPr>
          <w:rFonts w:hint="eastAsia"/>
          <w:lang w:eastAsia="zh-CN"/>
        </w:rPr>
        <w:t>s</w:t>
      </w:r>
      <w:r w:rsidR="00736B27" w:rsidRPr="00E24062">
        <w:rPr>
          <w:rFonts w:hint="eastAsia"/>
          <w:lang w:eastAsia="zh-CN"/>
        </w:rPr>
        <w:t xml:space="preserve"> on </w:t>
      </w:r>
      <w:r w:rsidR="00736B27">
        <w:rPr>
          <w:rFonts w:hint="eastAsia"/>
          <w:lang w:eastAsia="zh-CN"/>
        </w:rPr>
        <w:t>the remaining issues and give our proposals.</w:t>
      </w:r>
      <w:r w:rsidR="00BE7569">
        <w:rPr>
          <w:rFonts w:hint="eastAsia"/>
          <w:lang w:eastAsia="zh-CN"/>
        </w:rPr>
        <w:t xml:space="preserve"> </w:t>
      </w:r>
    </w:p>
    <w:p w:rsidR="002B4DB1" w:rsidRPr="00FA684F" w:rsidRDefault="00155B73" w:rsidP="00FA684F">
      <w:pPr>
        <w:pStyle w:val="1"/>
        <w:rPr>
          <w:lang w:val="en-US" w:eastAsia="zh-CN"/>
        </w:rPr>
      </w:pPr>
      <w:r>
        <w:rPr>
          <w:rFonts w:hint="eastAsia"/>
          <w:lang w:val="en-US" w:eastAsia="zh-CN"/>
        </w:rPr>
        <w:t xml:space="preserve">2 </w:t>
      </w:r>
      <w:r w:rsidR="008D5C69">
        <w:rPr>
          <w:rFonts w:hint="eastAsia"/>
          <w:lang w:val="en-US" w:eastAsia="zh-CN"/>
        </w:rPr>
        <w:t>Discussion</w:t>
      </w:r>
    </w:p>
    <w:p w:rsidR="00E812D5" w:rsidRDefault="00063E03" w:rsidP="008D041A">
      <w:pPr>
        <w:pStyle w:val="2"/>
        <w:rPr>
          <w:lang w:val="en-US" w:eastAsia="zh-CN"/>
        </w:rPr>
      </w:pPr>
      <w:r w:rsidRPr="00223436">
        <w:rPr>
          <w:rFonts w:hint="eastAsia"/>
          <w:lang w:val="en-US" w:eastAsia="zh-CN"/>
        </w:rPr>
        <w:t>2.</w:t>
      </w:r>
      <w:r w:rsidR="00FA684F">
        <w:rPr>
          <w:rFonts w:hint="eastAsia"/>
          <w:lang w:val="en-US" w:eastAsia="zh-CN"/>
        </w:rPr>
        <w:t>1</w:t>
      </w:r>
      <w:r w:rsidRPr="00223436">
        <w:rPr>
          <w:rFonts w:hint="eastAsia"/>
          <w:lang w:val="en-US" w:eastAsia="zh-CN"/>
        </w:rPr>
        <w:t xml:space="preserve"> </w:t>
      </w:r>
      <w:r w:rsidRPr="00223436">
        <w:rPr>
          <w:lang w:val="en-US" w:eastAsia="zh-CN"/>
        </w:rPr>
        <w:t>Using scenarios</w:t>
      </w:r>
    </w:p>
    <w:tbl>
      <w:tblPr>
        <w:tblStyle w:val="af3"/>
        <w:tblW w:w="0" w:type="auto"/>
        <w:tblLook w:val="04A0" w:firstRow="1" w:lastRow="0" w:firstColumn="1" w:lastColumn="0" w:noHBand="0" w:noVBand="1"/>
      </w:tblPr>
      <w:tblGrid>
        <w:gridCol w:w="9857"/>
      </w:tblGrid>
      <w:tr w:rsidR="008145B4" w:rsidTr="008145B4">
        <w:tc>
          <w:tcPr>
            <w:tcW w:w="9857" w:type="dxa"/>
          </w:tcPr>
          <w:p w:rsidR="008145B4" w:rsidRPr="008145B4" w:rsidRDefault="008145B4" w:rsidP="008145B4">
            <w:pPr>
              <w:pStyle w:val="4"/>
              <w:ind w:left="0" w:firstLine="0"/>
              <w:outlineLvl w:val="3"/>
              <w:rPr>
                <w:rFonts w:eastAsiaTheme="minorEastAsia"/>
                <w:b/>
                <w:bCs/>
                <w:sz w:val="20"/>
                <w:u w:val="single"/>
                <w:lang w:val="en-US"/>
              </w:rPr>
            </w:pPr>
            <w:r w:rsidRPr="008145B4">
              <w:rPr>
                <w:rFonts w:eastAsiaTheme="minorEastAsia"/>
                <w:b/>
                <w:bCs/>
                <w:sz w:val="20"/>
                <w:u w:val="single"/>
                <w:lang w:val="en-US"/>
              </w:rPr>
              <w:t xml:space="preserve">The exact configuration of Pre-MG used for PRS measurement </w:t>
            </w:r>
          </w:p>
          <w:p w:rsidR="008145B4" w:rsidRPr="008145B4" w:rsidRDefault="008145B4" w:rsidP="008145B4">
            <w:pPr>
              <w:pStyle w:val="af8"/>
              <w:widowControl/>
              <w:numPr>
                <w:ilvl w:val="0"/>
                <w:numId w:val="14"/>
              </w:numPr>
              <w:overflowPunct w:val="0"/>
              <w:autoSpaceDE w:val="0"/>
              <w:autoSpaceDN w:val="0"/>
              <w:adjustRightInd w:val="0"/>
              <w:spacing w:before="0" w:after="120" w:line="259" w:lineRule="auto"/>
              <w:ind w:firstLineChars="0"/>
              <w:jc w:val="left"/>
              <w:textAlignment w:val="baseline"/>
              <w:rPr>
                <w:rFonts w:eastAsiaTheme="minorEastAsia"/>
                <w:b/>
                <w:bCs/>
                <w:sz w:val="20"/>
                <w:szCs w:val="20"/>
              </w:rPr>
            </w:pPr>
            <w:r w:rsidRPr="008145B4">
              <w:rPr>
                <w:rFonts w:eastAsiaTheme="minorEastAsia"/>
                <w:b/>
                <w:bCs/>
                <w:sz w:val="20"/>
                <w:szCs w:val="20"/>
              </w:rPr>
              <w:t>UE shall inform network about the PRS measurement by LocationMeasurementIndication IE</w:t>
            </w:r>
          </w:p>
          <w:p w:rsidR="008145B4" w:rsidRPr="008145B4" w:rsidRDefault="008145B4" w:rsidP="008145B4">
            <w:pPr>
              <w:pStyle w:val="af8"/>
              <w:widowControl/>
              <w:numPr>
                <w:ilvl w:val="0"/>
                <w:numId w:val="14"/>
              </w:numPr>
              <w:overflowPunct w:val="0"/>
              <w:autoSpaceDE w:val="0"/>
              <w:autoSpaceDN w:val="0"/>
              <w:adjustRightInd w:val="0"/>
              <w:spacing w:before="0" w:after="180" w:line="259" w:lineRule="auto"/>
              <w:ind w:firstLineChars="0"/>
              <w:jc w:val="left"/>
              <w:textAlignment w:val="baseline"/>
              <w:rPr>
                <w:rFonts w:eastAsiaTheme="minorEastAsia"/>
                <w:b/>
                <w:bCs/>
                <w:sz w:val="20"/>
                <w:szCs w:val="20"/>
              </w:rPr>
            </w:pPr>
            <w:r w:rsidRPr="008145B4">
              <w:rPr>
                <w:rFonts w:eastAsiaTheme="minorEastAsia"/>
                <w:b/>
                <w:bCs/>
                <w:sz w:val="20"/>
                <w:szCs w:val="20"/>
              </w:rPr>
              <w:t>FFS on when this indication shall be informed to NW</w:t>
            </w:r>
          </w:p>
          <w:p w:rsidR="008145B4" w:rsidRPr="008145B4" w:rsidRDefault="008145B4" w:rsidP="008145B4">
            <w:pPr>
              <w:pStyle w:val="af8"/>
              <w:widowControl/>
              <w:numPr>
                <w:ilvl w:val="1"/>
                <w:numId w:val="14"/>
              </w:numPr>
              <w:overflowPunct w:val="0"/>
              <w:autoSpaceDE w:val="0"/>
              <w:autoSpaceDN w:val="0"/>
              <w:adjustRightInd w:val="0"/>
              <w:spacing w:before="0" w:after="120" w:line="259" w:lineRule="auto"/>
              <w:ind w:firstLineChars="0"/>
              <w:jc w:val="left"/>
              <w:textAlignment w:val="baseline"/>
              <w:rPr>
                <w:rFonts w:eastAsiaTheme="minorEastAsia"/>
                <w:b/>
                <w:bCs/>
                <w:sz w:val="20"/>
                <w:szCs w:val="20"/>
              </w:rPr>
            </w:pPr>
            <w:r w:rsidRPr="008145B4">
              <w:rPr>
                <w:rFonts w:eastAsiaTheme="minorEastAsia"/>
                <w:b/>
                <w:bCs/>
                <w:sz w:val="20"/>
                <w:szCs w:val="20"/>
              </w:rPr>
              <w:t>Option 1. when UE is going to perform PRS measurement upon the measurement gap is needed [TS38.331]</w:t>
            </w:r>
          </w:p>
          <w:p w:rsidR="008145B4" w:rsidRPr="008145B4" w:rsidRDefault="008145B4" w:rsidP="008145B4">
            <w:pPr>
              <w:pStyle w:val="af8"/>
              <w:widowControl/>
              <w:numPr>
                <w:ilvl w:val="1"/>
                <w:numId w:val="14"/>
              </w:numPr>
              <w:overflowPunct w:val="0"/>
              <w:autoSpaceDE w:val="0"/>
              <w:autoSpaceDN w:val="0"/>
              <w:adjustRightInd w:val="0"/>
              <w:spacing w:before="0" w:after="180" w:line="259" w:lineRule="auto"/>
              <w:ind w:firstLineChars="0"/>
              <w:jc w:val="left"/>
              <w:textAlignment w:val="baseline"/>
              <w:rPr>
                <w:rFonts w:eastAsiaTheme="minorEastAsia"/>
                <w:b/>
                <w:bCs/>
              </w:rPr>
            </w:pPr>
            <w:r w:rsidRPr="008145B4">
              <w:rPr>
                <w:rFonts w:eastAsiaTheme="minorEastAsia"/>
                <w:b/>
                <w:bCs/>
                <w:sz w:val="20"/>
                <w:szCs w:val="20"/>
              </w:rPr>
              <w:t xml:space="preserve">Option 2. when </w:t>
            </w:r>
            <w:r w:rsidRPr="008145B4">
              <w:rPr>
                <w:rFonts w:eastAsiaTheme="minorEastAsia"/>
                <w:b/>
                <w:bCs/>
                <w:sz w:val="20"/>
                <w:szCs w:val="20"/>
                <w:lang w:val="en-US"/>
              </w:rPr>
              <w:t xml:space="preserve">UE is going to perform PRS </w:t>
            </w:r>
            <w:r w:rsidRPr="008145B4">
              <w:rPr>
                <w:rFonts w:eastAsiaTheme="minorEastAsia"/>
                <w:b/>
                <w:bCs/>
                <w:sz w:val="20"/>
                <w:szCs w:val="20"/>
              </w:rPr>
              <w:t>with the configured Pre-MG only if UE has not informed NW before pre-MG configuration.</w:t>
            </w:r>
          </w:p>
        </w:tc>
      </w:tr>
    </w:tbl>
    <w:p w:rsidR="00711077" w:rsidRDefault="00711077" w:rsidP="008145B4">
      <w:pPr>
        <w:spacing w:beforeLines="50" w:before="120"/>
        <w:rPr>
          <w:lang w:eastAsia="zh-CN"/>
        </w:rPr>
      </w:pPr>
      <w:r>
        <w:rPr>
          <w:lang w:val="en-US" w:eastAsia="zh-CN"/>
        </w:rPr>
        <w:t>F</w:t>
      </w:r>
      <w:r>
        <w:rPr>
          <w:rFonts w:hint="eastAsia"/>
          <w:lang w:val="en-US" w:eastAsia="zh-CN"/>
        </w:rPr>
        <w:t xml:space="preserve">or </w:t>
      </w:r>
      <w:r w:rsidR="00E812D5">
        <w:rPr>
          <w:rFonts w:hint="eastAsia"/>
          <w:lang w:val="en-US" w:eastAsia="zh-CN"/>
        </w:rPr>
        <w:t xml:space="preserve">the UE indication for </w:t>
      </w:r>
      <w:r>
        <w:rPr>
          <w:rFonts w:hint="eastAsia"/>
          <w:lang w:val="en-US" w:eastAsia="zh-CN"/>
        </w:rPr>
        <w:t xml:space="preserve">PRS measurement, based on </w:t>
      </w:r>
      <w:r w:rsidR="00C42222">
        <w:rPr>
          <w:rFonts w:hint="eastAsia"/>
          <w:lang w:val="en-US" w:eastAsia="zh-CN"/>
        </w:rPr>
        <w:t xml:space="preserve">the </w:t>
      </w:r>
      <w:r>
        <w:rPr>
          <w:rFonts w:hint="eastAsia"/>
          <w:lang w:val="en-US" w:eastAsia="zh-CN"/>
        </w:rPr>
        <w:t>current R16 specification [3]</w:t>
      </w:r>
      <w:r w:rsidR="00E72983">
        <w:rPr>
          <w:rFonts w:hint="eastAsia"/>
          <w:lang w:val="en-US" w:eastAsia="zh-CN"/>
        </w:rPr>
        <w:t xml:space="preserve"> as below</w:t>
      </w:r>
      <w:r w:rsidR="009A7A95">
        <w:rPr>
          <w:rFonts w:hint="eastAsia"/>
          <w:lang w:val="en-US" w:eastAsia="zh-CN"/>
        </w:rPr>
        <w:t xml:space="preserve">, UE will indicate </w:t>
      </w:r>
      <w:r w:rsidR="00997CA6">
        <w:rPr>
          <w:rFonts w:hint="eastAsia"/>
          <w:lang w:val="en-US" w:eastAsia="zh-CN"/>
        </w:rPr>
        <w:t xml:space="preserve">the start or stop of PRS measurement to </w:t>
      </w:r>
      <w:r w:rsidR="007F09D6">
        <w:rPr>
          <w:rFonts w:hint="eastAsia"/>
          <w:lang w:val="en-US" w:eastAsia="zh-CN"/>
        </w:rPr>
        <w:t xml:space="preserve">network by </w:t>
      </w:r>
      <w:r w:rsidR="006577BE" w:rsidRPr="00D27132">
        <w:rPr>
          <w:i/>
        </w:rPr>
        <w:t>LocationMeasurementIndication</w:t>
      </w:r>
      <w:r w:rsidR="006577BE">
        <w:rPr>
          <w:rFonts w:hint="eastAsia"/>
          <w:lang w:val="en-US" w:eastAsia="zh-CN"/>
        </w:rPr>
        <w:t xml:space="preserve"> </w:t>
      </w:r>
      <w:r w:rsidR="006E7097">
        <w:rPr>
          <w:rFonts w:hint="eastAsia"/>
          <w:lang w:val="en-US" w:eastAsia="zh-CN"/>
        </w:rPr>
        <w:t>message</w:t>
      </w:r>
      <w:r w:rsidR="00C129B2">
        <w:rPr>
          <w:rFonts w:hint="eastAsia"/>
          <w:lang w:val="en-US" w:eastAsia="zh-CN"/>
        </w:rPr>
        <w:t xml:space="preserve"> </w:t>
      </w:r>
      <w:r w:rsidR="006577BE">
        <w:rPr>
          <w:rFonts w:hint="eastAsia"/>
          <w:lang w:val="en-US" w:eastAsia="zh-CN"/>
        </w:rPr>
        <w:t xml:space="preserve">and the gap </w:t>
      </w:r>
      <w:r w:rsidR="009A7A95">
        <w:rPr>
          <w:rFonts w:hint="eastAsia"/>
          <w:lang w:val="en-US" w:eastAsia="zh-CN"/>
        </w:rPr>
        <w:t xml:space="preserve">related information </w:t>
      </w:r>
      <w:r w:rsidR="00E442F9">
        <w:rPr>
          <w:rFonts w:hint="eastAsia"/>
          <w:lang w:val="en-US" w:eastAsia="zh-CN"/>
        </w:rPr>
        <w:t xml:space="preserve">is included in the IE </w:t>
      </w:r>
      <w:r w:rsidR="00E72983" w:rsidRPr="009C7017">
        <w:rPr>
          <w:i/>
        </w:rPr>
        <w:t>LocationMeasurementInfo</w:t>
      </w:r>
      <w:r w:rsidR="00341B8D">
        <w:rPr>
          <w:rFonts w:hint="eastAsia"/>
          <w:lang w:eastAsia="zh-CN"/>
        </w:rPr>
        <w:t xml:space="preserve"> </w:t>
      </w:r>
      <w:r w:rsidR="00341B8D" w:rsidRPr="00341B8D">
        <w:rPr>
          <w:lang w:eastAsia="zh-CN"/>
        </w:rPr>
        <w:t>to assist with the configuration of measurement gaps</w:t>
      </w:r>
      <w:r w:rsidR="00276A2B">
        <w:rPr>
          <w:rFonts w:hint="eastAsia"/>
          <w:lang w:eastAsia="zh-CN"/>
        </w:rPr>
        <w:t xml:space="preserve">. </w:t>
      </w:r>
      <w:r w:rsidR="00DE0C37">
        <w:rPr>
          <w:lang w:eastAsia="zh-CN"/>
        </w:rPr>
        <w:t>W</w:t>
      </w:r>
      <w:r w:rsidR="00DE0C37">
        <w:rPr>
          <w:rFonts w:hint="eastAsia"/>
          <w:lang w:eastAsia="zh-CN"/>
        </w:rPr>
        <w:t xml:space="preserve">e think this can also be </w:t>
      </w:r>
      <w:r w:rsidR="002D4316">
        <w:rPr>
          <w:rFonts w:hint="eastAsia"/>
          <w:lang w:eastAsia="zh-CN"/>
        </w:rPr>
        <w:t>applied</w:t>
      </w:r>
      <w:r w:rsidR="00DE0C37">
        <w:rPr>
          <w:rFonts w:hint="eastAsia"/>
          <w:lang w:eastAsia="zh-CN"/>
        </w:rPr>
        <w:t xml:space="preserve"> for pre-configured MG</w:t>
      </w:r>
      <w:r w:rsidR="00066715">
        <w:rPr>
          <w:rFonts w:hint="eastAsia"/>
          <w:lang w:eastAsia="zh-CN"/>
        </w:rPr>
        <w:t xml:space="preserve">. </w:t>
      </w:r>
      <w:r w:rsidR="00E812D5">
        <w:rPr>
          <w:rFonts w:hint="eastAsia"/>
          <w:lang w:eastAsia="zh-CN"/>
        </w:rPr>
        <w:t>In a word, as long as UE is configured to perform PRS measurement with measurement gap,</w:t>
      </w:r>
      <w:r w:rsidR="002D7513">
        <w:rPr>
          <w:rFonts w:hint="eastAsia"/>
          <w:lang w:eastAsia="zh-CN"/>
        </w:rPr>
        <w:t xml:space="preserve"> no matter it is legacy gap or activated pre-configured MG,</w:t>
      </w:r>
      <w:r w:rsidR="00E812D5">
        <w:rPr>
          <w:rFonts w:hint="eastAsia"/>
          <w:lang w:eastAsia="zh-CN"/>
        </w:rPr>
        <w:t xml:space="preserve"> UE need to indicate the positioning related information to network by </w:t>
      </w:r>
      <w:r w:rsidR="00C26A91" w:rsidRPr="00D27132">
        <w:rPr>
          <w:i/>
        </w:rPr>
        <w:t>LocationMeasurementIndication</w:t>
      </w:r>
      <w:r w:rsidR="00C26A91">
        <w:rPr>
          <w:rFonts w:hint="eastAsia"/>
          <w:lang w:val="en-US" w:eastAsia="zh-CN"/>
        </w:rPr>
        <w:t xml:space="preserve"> message</w:t>
      </w:r>
      <w:r w:rsidR="00E812D5">
        <w:rPr>
          <w:rFonts w:hint="eastAsia"/>
          <w:i/>
          <w:lang w:eastAsia="zh-CN"/>
        </w:rPr>
        <w:t>.</w:t>
      </w:r>
      <w:r w:rsidR="00E812D5">
        <w:rPr>
          <w:lang w:eastAsia="zh-CN"/>
        </w:rPr>
        <w:t xml:space="preserve"> </w:t>
      </w:r>
      <w:r w:rsidR="00366AE4">
        <w:rPr>
          <w:rFonts w:hint="eastAsia"/>
          <w:lang w:eastAsia="zh-CN"/>
        </w:rPr>
        <w:t xml:space="preserve">Since this mechanism has existed in the current </w:t>
      </w:r>
      <w:r w:rsidR="00B21422">
        <w:rPr>
          <w:rFonts w:hint="eastAsia"/>
          <w:lang w:eastAsia="zh-CN"/>
        </w:rPr>
        <w:t>requirements,</w:t>
      </w:r>
      <w:r w:rsidR="00222A3B">
        <w:rPr>
          <w:rFonts w:hint="eastAsia"/>
          <w:lang w:eastAsia="zh-CN"/>
        </w:rPr>
        <w:t xml:space="preserve"> no further clarification is needed for configuring Pre-MG for PRS measurement</w:t>
      </w:r>
      <w:r w:rsidR="00C2216E">
        <w:rPr>
          <w:rFonts w:hint="eastAsia"/>
          <w:lang w:eastAsia="zh-CN"/>
        </w:rPr>
        <w:t xml:space="preserve">. </w:t>
      </w:r>
    </w:p>
    <w:p w:rsidR="002A7D38" w:rsidRPr="002A7D38" w:rsidRDefault="00AA3CA7" w:rsidP="002A7D38">
      <w:pPr>
        <w:spacing w:beforeLines="50" w:before="120"/>
        <w:rPr>
          <w:b/>
          <w:lang w:val="en-US" w:eastAsia="zh-CN"/>
        </w:rPr>
      </w:pPr>
      <w:r>
        <w:rPr>
          <w:b/>
          <w:lang w:val="en-US" w:eastAsia="zh-CN"/>
        </w:rPr>
        <w:t>P</w:t>
      </w:r>
      <w:r>
        <w:rPr>
          <w:rFonts w:hint="eastAsia"/>
          <w:b/>
          <w:lang w:val="en-US" w:eastAsia="zh-CN"/>
        </w:rPr>
        <w:t xml:space="preserve">roposal </w:t>
      </w:r>
      <w:r w:rsidR="000B119B">
        <w:rPr>
          <w:rFonts w:hint="eastAsia"/>
          <w:b/>
          <w:lang w:val="en-US" w:eastAsia="zh-CN"/>
        </w:rPr>
        <w:t>1</w:t>
      </w:r>
      <w:r>
        <w:rPr>
          <w:rFonts w:hint="eastAsia"/>
          <w:b/>
          <w:lang w:val="en-US" w:eastAsia="zh-CN"/>
        </w:rPr>
        <w:t xml:space="preserve">: </w:t>
      </w:r>
      <w:r w:rsidR="002A7D38" w:rsidRPr="002A7D38">
        <w:rPr>
          <w:b/>
          <w:lang w:val="en-US" w:eastAsia="zh-CN"/>
        </w:rPr>
        <w:t xml:space="preserve">UE shall inform network about the PRS measurement by </w:t>
      </w:r>
      <w:r w:rsidR="002A7D38" w:rsidRPr="002A7D38">
        <w:rPr>
          <w:b/>
          <w:i/>
          <w:lang w:val="en-US" w:eastAsia="zh-CN"/>
        </w:rPr>
        <w:t>LocationMeasurementIndication</w:t>
      </w:r>
      <w:r w:rsidR="002A7D38">
        <w:rPr>
          <w:b/>
          <w:lang w:val="en-US" w:eastAsia="zh-CN"/>
        </w:rPr>
        <w:t xml:space="preserve"> </w:t>
      </w:r>
      <w:r w:rsidR="002A7D38">
        <w:rPr>
          <w:rFonts w:hint="eastAsia"/>
          <w:b/>
          <w:lang w:val="en-US" w:eastAsia="zh-CN"/>
        </w:rPr>
        <w:t xml:space="preserve">message </w:t>
      </w:r>
      <w:r w:rsidR="002A7D38" w:rsidRPr="002A7D38">
        <w:rPr>
          <w:rFonts w:eastAsiaTheme="minorEastAsia"/>
          <w:b/>
          <w:bCs/>
        </w:rPr>
        <w:t xml:space="preserve">when UE is going to perform PRS measurement </w:t>
      </w:r>
      <w:r w:rsidR="002A7D38">
        <w:rPr>
          <w:rFonts w:eastAsiaTheme="minorEastAsia" w:hint="eastAsia"/>
          <w:b/>
          <w:bCs/>
          <w:lang w:eastAsia="zh-CN"/>
        </w:rPr>
        <w:t>with measurement gap</w:t>
      </w:r>
      <w:r w:rsidR="000C0216">
        <w:rPr>
          <w:rFonts w:eastAsiaTheme="minorEastAsia" w:hint="eastAsia"/>
          <w:b/>
          <w:bCs/>
          <w:lang w:eastAsia="zh-CN"/>
        </w:rPr>
        <w:t xml:space="preserve"> irrelevant of legacy gap or pre-configured MG</w:t>
      </w:r>
      <w:r w:rsidR="00A63CE3">
        <w:rPr>
          <w:rFonts w:eastAsiaTheme="minorEastAsia" w:hint="eastAsia"/>
          <w:b/>
          <w:bCs/>
          <w:lang w:eastAsia="zh-CN"/>
        </w:rPr>
        <w:t>.</w:t>
      </w:r>
      <w:r w:rsidR="008461EC">
        <w:rPr>
          <w:rFonts w:eastAsiaTheme="minorEastAsia" w:hint="eastAsia"/>
          <w:b/>
          <w:bCs/>
          <w:lang w:eastAsia="zh-CN"/>
        </w:rPr>
        <w:t xml:space="preserve"> </w:t>
      </w:r>
    </w:p>
    <w:tbl>
      <w:tblPr>
        <w:tblStyle w:val="af3"/>
        <w:tblW w:w="0" w:type="auto"/>
        <w:tblLook w:val="04A0" w:firstRow="1" w:lastRow="0" w:firstColumn="1" w:lastColumn="0" w:noHBand="0" w:noVBand="1"/>
      </w:tblPr>
      <w:tblGrid>
        <w:gridCol w:w="9857"/>
      </w:tblGrid>
      <w:tr w:rsidR="005201FB" w:rsidTr="005201FB">
        <w:tc>
          <w:tcPr>
            <w:tcW w:w="9857" w:type="dxa"/>
          </w:tcPr>
          <w:p w:rsidR="005201FB" w:rsidRPr="005201FB" w:rsidRDefault="005201FB" w:rsidP="005201FB">
            <w:pPr>
              <w:pStyle w:val="4"/>
              <w:ind w:left="0" w:firstLine="0"/>
              <w:outlineLvl w:val="3"/>
              <w:rPr>
                <w:rFonts w:eastAsiaTheme="minorEastAsia"/>
                <w:b/>
                <w:bCs/>
                <w:sz w:val="20"/>
                <w:u w:val="single"/>
                <w:lang w:val="en-US"/>
              </w:rPr>
            </w:pPr>
            <w:r w:rsidRPr="005201FB">
              <w:rPr>
                <w:rFonts w:eastAsiaTheme="minorEastAsia"/>
                <w:b/>
                <w:bCs/>
                <w:sz w:val="20"/>
                <w:u w:val="single"/>
                <w:lang w:val="en-US"/>
              </w:rPr>
              <w:t>Configuration for Pre-MG under CA</w:t>
            </w:r>
          </w:p>
          <w:p w:rsidR="005201FB" w:rsidRPr="005201FB" w:rsidRDefault="005201FB" w:rsidP="005201FB">
            <w:pPr>
              <w:rPr>
                <w:rFonts w:eastAsia="MS Mincho"/>
              </w:rPr>
            </w:pPr>
            <w:r w:rsidRPr="005201FB">
              <w:rPr>
                <w:rFonts w:eastAsiaTheme="minorEastAsia"/>
                <w:b/>
                <w:bCs/>
              </w:rPr>
              <w:t>FFS on</w:t>
            </w:r>
          </w:p>
          <w:p w:rsidR="005201FB" w:rsidRPr="005201FB" w:rsidRDefault="005201FB" w:rsidP="00CB059F">
            <w:pPr>
              <w:pStyle w:val="af8"/>
              <w:widowControl/>
              <w:numPr>
                <w:ilvl w:val="0"/>
                <w:numId w:val="6"/>
              </w:numPr>
              <w:overflowPunct w:val="0"/>
              <w:autoSpaceDE w:val="0"/>
              <w:autoSpaceDN w:val="0"/>
              <w:adjustRightInd w:val="0"/>
              <w:spacing w:before="0" w:after="180" w:line="259" w:lineRule="auto"/>
              <w:ind w:firstLineChars="0"/>
              <w:jc w:val="left"/>
              <w:textAlignment w:val="baseline"/>
              <w:rPr>
                <w:b/>
                <w:bCs/>
              </w:rPr>
            </w:pPr>
            <w:r w:rsidRPr="005201FB">
              <w:rPr>
                <w:b/>
                <w:bCs/>
                <w:sz w:val="20"/>
                <w:szCs w:val="20"/>
              </w:rPr>
              <w:t>In case of CA, it is up to RAN2 to decide if signalling extensions in the RRC Reconfiguration message for Pre-MG configuration are needed due to supported band combinations. For the currently operated band combination the initial Pre-MG activation/deactivation status may be delivered per BWP of each CC to the UE.</w:t>
            </w:r>
          </w:p>
        </w:tc>
      </w:tr>
    </w:tbl>
    <w:p w:rsidR="005E78E5" w:rsidRDefault="005201FB" w:rsidP="005E78E5">
      <w:pPr>
        <w:spacing w:beforeLines="50" w:before="120"/>
        <w:rPr>
          <w:lang w:val="en-US" w:eastAsia="zh-CN"/>
        </w:rPr>
      </w:pPr>
      <w:r>
        <w:rPr>
          <w:lang w:eastAsia="zh-CN"/>
        </w:rPr>
        <w:t>I</w:t>
      </w:r>
      <w:r>
        <w:rPr>
          <w:rFonts w:hint="eastAsia"/>
          <w:lang w:eastAsia="zh-CN"/>
        </w:rPr>
        <w:t xml:space="preserve">n last meeting, </w:t>
      </w:r>
      <w:r w:rsidR="00D80F37">
        <w:rPr>
          <w:rFonts w:hint="eastAsia"/>
          <w:lang w:eastAsia="zh-CN"/>
        </w:rPr>
        <w:t>it was agreed to support the CA case</w:t>
      </w:r>
      <w:r w:rsidR="00AF64BA">
        <w:rPr>
          <w:rFonts w:hint="eastAsia"/>
          <w:lang w:eastAsia="zh-CN"/>
        </w:rPr>
        <w:t xml:space="preserve"> but based on the BWP switching on a single CC. </w:t>
      </w:r>
      <w:r w:rsidR="0008772C">
        <w:rPr>
          <w:rFonts w:hint="eastAsia"/>
          <w:lang w:eastAsia="zh-CN"/>
        </w:rPr>
        <w:t xml:space="preserve">Then for CA case, in our understanding, </w:t>
      </w:r>
      <w:r w:rsidR="0008772C">
        <w:rPr>
          <w:rFonts w:hint="eastAsia"/>
          <w:lang w:val="en-US" w:eastAsia="zh-CN"/>
        </w:rPr>
        <w:t xml:space="preserve">the activation/deactivation procedure in the CC where BWP switching occurs is the same as the procedure in single carrier case. </w:t>
      </w:r>
      <w:r w:rsidR="0008772C">
        <w:rPr>
          <w:lang w:val="en-US" w:eastAsia="zh-CN"/>
        </w:rPr>
        <w:t>T</w:t>
      </w:r>
      <w:r w:rsidR="0008772C">
        <w:rPr>
          <w:rFonts w:hint="eastAsia"/>
          <w:lang w:val="en-US" w:eastAsia="zh-CN"/>
        </w:rPr>
        <w:t xml:space="preserve">he additional effort for UE is to know the MG status in other carriers where the BWP is not switched and with this information, UE can decide the MG status after BWP switching. </w:t>
      </w:r>
    </w:p>
    <w:p w:rsidR="0008772C" w:rsidRPr="005E78E5" w:rsidRDefault="005E78E5" w:rsidP="005E78E5">
      <w:pPr>
        <w:spacing w:beforeLines="50" w:before="120"/>
        <w:rPr>
          <w:lang w:eastAsia="zh-CN"/>
        </w:rPr>
      </w:pPr>
      <w:r>
        <w:rPr>
          <w:lang w:val="en-US" w:eastAsia="zh-CN"/>
        </w:rPr>
        <w:t>F</w:t>
      </w:r>
      <w:r>
        <w:rPr>
          <w:rFonts w:hint="eastAsia"/>
          <w:lang w:val="en-US" w:eastAsia="zh-CN"/>
        </w:rPr>
        <w:t>rom the signaling perspective, we think the additional effort is to extend the</w:t>
      </w:r>
      <w:r w:rsidR="00FE4EFA">
        <w:rPr>
          <w:rFonts w:hint="eastAsia"/>
          <w:lang w:val="en-US" w:eastAsia="zh-CN"/>
        </w:rPr>
        <w:t xml:space="preserve"> per BWP indication to each CC, i.e. UE will be indicated the activation/deactivation status of Pre-MG per BWP per CC. </w:t>
      </w:r>
      <w:r w:rsidR="0008772C">
        <w:rPr>
          <w:lang w:val="en-US" w:eastAsia="zh-CN"/>
        </w:rPr>
        <w:t>A</w:t>
      </w:r>
      <w:r w:rsidR="0008772C">
        <w:rPr>
          <w:rFonts w:hint="eastAsia"/>
          <w:lang w:val="en-US" w:eastAsia="zh-CN"/>
        </w:rPr>
        <w:t xml:space="preserve">nd the </w:t>
      </w:r>
      <w:r w:rsidR="00FE4EFA">
        <w:rPr>
          <w:rFonts w:hint="eastAsia"/>
          <w:lang w:val="en-US" w:eastAsia="zh-CN"/>
        </w:rPr>
        <w:t xml:space="preserve">final </w:t>
      </w:r>
      <w:r w:rsidR="0008772C">
        <w:rPr>
          <w:rFonts w:hint="eastAsia"/>
          <w:lang w:val="en-US" w:eastAsia="zh-CN"/>
        </w:rPr>
        <w:t xml:space="preserve">activation/deactivation status </w:t>
      </w:r>
      <w:r w:rsidR="00FE4EFA">
        <w:rPr>
          <w:rFonts w:hint="eastAsia"/>
          <w:lang w:val="en-US" w:eastAsia="zh-CN"/>
        </w:rPr>
        <w:t xml:space="preserve">of the per-UE/per-FR gap </w:t>
      </w:r>
      <w:r w:rsidR="0008772C">
        <w:rPr>
          <w:rFonts w:hint="eastAsia"/>
          <w:lang w:val="en-US" w:eastAsia="zh-CN"/>
        </w:rPr>
        <w:t xml:space="preserve">can be determined based on the following principles: </w:t>
      </w:r>
    </w:p>
    <w:p w:rsidR="0008772C" w:rsidRPr="00EB6DA3" w:rsidRDefault="0008772C" w:rsidP="0008772C">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iCs/>
          <w:sz w:val="20"/>
          <w:lang w:val="en-US"/>
        </w:rPr>
      </w:pPr>
      <w:r w:rsidRPr="00EB6DA3">
        <w:rPr>
          <w:iCs/>
          <w:sz w:val="20"/>
        </w:rPr>
        <w:t xml:space="preserve">When configured with per-UE gap, the gap is </w:t>
      </w:r>
      <w:r>
        <w:rPr>
          <w:rFonts w:hint="eastAsia"/>
          <w:iCs/>
          <w:sz w:val="20"/>
        </w:rPr>
        <w:t>activated</w:t>
      </w:r>
      <w:r w:rsidRPr="00EB6DA3">
        <w:rPr>
          <w:iCs/>
          <w:sz w:val="20"/>
        </w:rPr>
        <w:t xml:space="preserve"> as long as the pre-MG status in one of the CCs is </w:t>
      </w:r>
      <w:r>
        <w:rPr>
          <w:rFonts w:hint="eastAsia"/>
          <w:iCs/>
          <w:sz w:val="20"/>
        </w:rPr>
        <w:t>activation</w:t>
      </w:r>
      <w:r w:rsidRPr="00EB6DA3">
        <w:rPr>
          <w:iCs/>
          <w:sz w:val="20"/>
        </w:rPr>
        <w:t xml:space="preserve">, and the gap is </w:t>
      </w:r>
      <w:r>
        <w:rPr>
          <w:rFonts w:hint="eastAsia"/>
          <w:iCs/>
          <w:sz w:val="20"/>
        </w:rPr>
        <w:t>deactivated</w:t>
      </w:r>
      <w:r w:rsidRPr="00EB6DA3">
        <w:rPr>
          <w:iCs/>
          <w:sz w:val="20"/>
        </w:rPr>
        <w:t xml:space="preserve"> only if the pre-MG status in all CCs </w:t>
      </w:r>
      <w:r>
        <w:rPr>
          <w:rFonts w:hint="eastAsia"/>
          <w:iCs/>
          <w:sz w:val="20"/>
        </w:rPr>
        <w:t>is deactivation</w:t>
      </w:r>
      <w:r w:rsidRPr="00EB6DA3">
        <w:rPr>
          <w:iCs/>
          <w:sz w:val="20"/>
        </w:rPr>
        <w:t xml:space="preserve">. </w:t>
      </w:r>
    </w:p>
    <w:p w:rsidR="0008772C" w:rsidRDefault="0008772C" w:rsidP="0008772C">
      <w:pPr>
        <w:pStyle w:val="af8"/>
        <w:widowControl/>
        <w:numPr>
          <w:ilvl w:val="1"/>
          <w:numId w:val="6"/>
        </w:numPr>
        <w:overflowPunct w:val="0"/>
        <w:autoSpaceDE w:val="0"/>
        <w:autoSpaceDN w:val="0"/>
        <w:adjustRightInd w:val="0"/>
        <w:spacing w:before="0" w:after="180" w:line="259" w:lineRule="auto"/>
        <w:ind w:firstLineChars="0"/>
        <w:jc w:val="left"/>
        <w:textAlignment w:val="baseline"/>
        <w:rPr>
          <w:iCs/>
          <w:sz w:val="20"/>
        </w:rPr>
      </w:pPr>
      <w:r w:rsidRPr="00EB6DA3">
        <w:rPr>
          <w:iCs/>
          <w:sz w:val="20"/>
        </w:rPr>
        <w:t xml:space="preserve">When configured with per-FR gap, the gap is </w:t>
      </w:r>
      <w:r>
        <w:rPr>
          <w:rFonts w:hint="eastAsia"/>
          <w:iCs/>
          <w:sz w:val="20"/>
        </w:rPr>
        <w:t>activated</w:t>
      </w:r>
      <w:r w:rsidRPr="00EB6DA3">
        <w:rPr>
          <w:iCs/>
          <w:sz w:val="20"/>
        </w:rPr>
        <w:t xml:space="preserve"> as long as the pre-MG status in one of the CCs</w:t>
      </w:r>
      <w:r>
        <w:rPr>
          <w:rFonts w:hint="eastAsia"/>
          <w:iCs/>
          <w:sz w:val="20"/>
        </w:rPr>
        <w:t xml:space="preserve"> </w:t>
      </w:r>
      <w:r w:rsidRPr="00EB6DA3">
        <w:rPr>
          <w:iCs/>
          <w:sz w:val="20"/>
        </w:rPr>
        <w:t xml:space="preserve">in the same FR is </w:t>
      </w:r>
      <w:r>
        <w:rPr>
          <w:rFonts w:hint="eastAsia"/>
          <w:iCs/>
          <w:sz w:val="20"/>
        </w:rPr>
        <w:t>activation</w:t>
      </w:r>
      <w:r w:rsidRPr="00EB6DA3">
        <w:rPr>
          <w:iCs/>
          <w:sz w:val="20"/>
        </w:rPr>
        <w:t xml:space="preserve">, and the gap is </w:t>
      </w:r>
      <w:r>
        <w:rPr>
          <w:rFonts w:hint="eastAsia"/>
          <w:iCs/>
          <w:sz w:val="20"/>
        </w:rPr>
        <w:t>deactivated</w:t>
      </w:r>
      <w:r w:rsidRPr="00EB6DA3">
        <w:rPr>
          <w:iCs/>
          <w:sz w:val="20"/>
        </w:rPr>
        <w:t xml:space="preserve"> only if the pre-MG status in all CCs</w:t>
      </w:r>
      <w:r>
        <w:rPr>
          <w:rFonts w:hint="eastAsia"/>
          <w:iCs/>
          <w:sz w:val="20"/>
        </w:rPr>
        <w:t xml:space="preserve"> </w:t>
      </w:r>
      <w:r w:rsidRPr="00EB6DA3">
        <w:rPr>
          <w:iCs/>
          <w:sz w:val="20"/>
        </w:rPr>
        <w:t xml:space="preserve">in the same FR </w:t>
      </w:r>
      <w:r>
        <w:rPr>
          <w:rFonts w:hint="eastAsia"/>
          <w:iCs/>
          <w:sz w:val="20"/>
        </w:rPr>
        <w:t>is deactivation</w:t>
      </w:r>
      <w:r w:rsidRPr="00EB6DA3">
        <w:rPr>
          <w:iCs/>
          <w:sz w:val="20"/>
        </w:rPr>
        <w:t xml:space="preserve">. </w:t>
      </w:r>
    </w:p>
    <w:p w:rsidR="00111980" w:rsidRPr="00111980" w:rsidRDefault="00111980" w:rsidP="00111980">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iCs/>
          <w:sz w:val="20"/>
          <w:lang w:val="en-US"/>
        </w:rPr>
      </w:pPr>
      <w:r w:rsidRPr="00111980">
        <w:rPr>
          <w:iCs/>
          <w:sz w:val="20"/>
        </w:rPr>
        <w:t>W</w:t>
      </w:r>
      <w:r w:rsidRPr="00111980">
        <w:rPr>
          <w:rFonts w:hint="eastAsia"/>
          <w:iCs/>
          <w:sz w:val="20"/>
        </w:rPr>
        <w:t>hen determining the Pre-MG status, only the activated CC is considered</w:t>
      </w:r>
      <w:r w:rsidRPr="00111980">
        <w:rPr>
          <w:rFonts w:ascii="Calibri" w:eastAsiaTheme="minorEastAsia" w:hAnsi="Calibri" w:cs="Calibri" w:hint="eastAsia"/>
          <w:iCs/>
          <w:sz w:val="20"/>
          <w:lang w:val="en-US"/>
        </w:rPr>
        <w:t xml:space="preserve">. </w:t>
      </w:r>
    </w:p>
    <w:p w:rsidR="004B0116" w:rsidRDefault="00EA5B43" w:rsidP="004B0116">
      <w:pPr>
        <w:overflowPunct w:val="0"/>
        <w:autoSpaceDE w:val="0"/>
        <w:autoSpaceDN w:val="0"/>
        <w:adjustRightInd w:val="0"/>
        <w:spacing w:line="259" w:lineRule="auto"/>
        <w:textAlignment w:val="baseline"/>
        <w:rPr>
          <w:iCs/>
          <w:lang w:eastAsia="zh-CN"/>
        </w:rPr>
      </w:pPr>
      <w:r>
        <w:rPr>
          <w:iCs/>
          <w:lang w:eastAsia="zh-CN"/>
        </w:rPr>
        <w:lastRenderedPageBreak/>
        <w:t>W</w:t>
      </w:r>
      <w:r>
        <w:rPr>
          <w:rFonts w:hint="eastAsia"/>
          <w:iCs/>
          <w:lang w:eastAsia="zh-CN"/>
        </w:rPr>
        <w:t xml:space="preserve">e think the above principle should be informed to RAN2 to </w:t>
      </w:r>
      <w:r w:rsidR="00282366">
        <w:rPr>
          <w:rFonts w:hint="eastAsia"/>
          <w:iCs/>
          <w:lang w:eastAsia="zh-CN"/>
        </w:rPr>
        <w:t xml:space="preserve">align the understanding </w:t>
      </w:r>
      <w:r w:rsidR="00DB7E05">
        <w:rPr>
          <w:rFonts w:hint="eastAsia"/>
          <w:iCs/>
          <w:lang w:eastAsia="zh-CN"/>
        </w:rPr>
        <w:t xml:space="preserve">and </w:t>
      </w:r>
      <w:r>
        <w:rPr>
          <w:rFonts w:hint="eastAsia"/>
          <w:iCs/>
          <w:lang w:eastAsia="zh-CN"/>
        </w:rPr>
        <w:t xml:space="preserve">help the detailed </w:t>
      </w:r>
      <w:r w:rsidR="002C3B8D">
        <w:rPr>
          <w:iCs/>
          <w:lang w:eastAsia="zh-CN"/>
        </w:rPr>
        <w:t>signalling</w:t>
      </w:r>
      <w:r w:rsidR="002C3B8D">
        <w:rPr>
          <w:rFonts w:hint="eastAsia"/>
          <w:iCs/>
          <w:lang w:eastAsia="zh-CN"/>
        </w:rPr>
        <w:t xml:space="preserve"> </w:t>
      </w:r>
      <w:r>
        <w:rPr>
          <w:rFonts w:hint="eastAsia"/>
          <w:iCs/>
          <w:lang w:eastAsia="zh-CN"/>
        </w:rPr>
        <w:t>design for the CA case</w:t>
      </w:r>
      <w:r w:rsidR="00B208DF">
        <w:rPr>
          <w:rFonts w:hint="eastAsia"/>
          <w:iCs/>
          <w:lang w:eastAsia="zh-CN"/>
        </w:rPr>
        <w:t xml:space="preserve">. </w:t>
      </w:r>
    </w:p>
    <w:p w:rsidR="00F61037" w:rsidRPr="00BB1197" w:rsidRDefault="00B46EF5" w:rsidP="00F61037">
      <w:pPr>
        <w:spacing w:beforeLines="50" w:before="120"/>
        <w:rPr>
          <w:b/>
          <w:lang w:eastAsia="zh-CN"/>
        </w:rPr>
      </w:pPr>
      <w:r>
        <w:rPr>
          <w:b/>
          <w:lang w:val="en-US" w:eastAsia="zh-CN"/>
        </w:rPr>
        <w:t>P</w:t>
      </w:r>
      <w:r>
        <w:rPr>
          <w:rFonts w:hint="eastAsia"/>
          <w:b/>
          <w:lang w:val="en-US" w:eastAsia="zh-CN"/>
        </w:rPr>
        <w:t xml:space="preserve">roposal 2: </w:t>
      </w:r>
      <w:r w:rsidR="00F61037" w:rsidRPr="00BB1197">
        <w:rPr>
          <w:rFonts w:hint="eastAsia"/>
          <w:b/>
          <w:lang w:val="en-US" w:eastAsia="zh-CN"/>
        </w:rPr>
        <w:t xml:space="preserve">UE will be indicated the activation/deactivation status of Pre-MG per BWP per CC. </w:t>
      </w:r>
      <w:r w:rsidR="00F61037" w:rsidRPr="00BB1197">
        <w:rPr>
          <w:b/>
          <w:lang w:val="en-US" w:eastAsia="zh-CN"/>
        </w:rPr>
        <w:t>A</w:t>
      </w:r>
      <w:r w:rsidR="00F61037" w:rsidRPr="00BB1197">
        <w:rPr>
          <w:rFonts w:hint="eastAsia"/>
          <w:b/>
          <w:lang w:val="en-US" w:eastAsia="zh-CN"/>
        </w:rPr>
        <w:t xml:space="preserve">nd the final activation/deactivation status of the per-UE/per-FR gap can be determined based on the following principles: </w:t>
      </w:r>
    </w:p>
    <w:p w:rsidR="00F61037" w:rsidRPr="00BB1197" w:rsidRDefault="00F61037" w:rsidP="00F61037">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b/>
          <w:iCs/>
          <w:sz w:val="20"/>
          <w:lang w:val="en-US"/>
        </w:rPr>
      </w:pPr>
      <w:r w:rsidRPr="00BB1197">
        <w:rPr>
          <w:b/>
          <w:iCs/>
          <w:sz w:val="20"/>
        </w:rPr>
        <w:t xml:space="preserve">When configured with per-UE gap, the gap is </w:t>
      </w:r>
      <w:r w:rsidRPr="00BB1197">
        <w:rPr>
          <w:rFonts w:hint="eastAsia"/>
          <w:b/>
          <w:iCs/>
          <w:sz w:val="20"/>
        </w:rPr>
        <w:t>activated</w:t>
      </w:r>
      <w:r w:rsidRPr="00BB1197">
        <w:rPr>
          <w:b/>
          <w:iCs/>
          <w:sz w:val="20"/>
        </w:rPr>
        <w:t xml:space="preserve"> as long as the pre-MG status in one of the CCs is </w:t>
      </w:r>
      <w:r w:rsidRPr="00BB1197">
        <w:rPr>
          <w:rFonts w:hint="eastAsia"/>
          <w:b/>
          <w:iCs/>
          <w:sz w:val="20"/>
        </w:rPr>
        <w:t>activation</w:t>
      </w:r>
      <w:r w:rsidRPr="00BB1197">
        <w:rPr>
          <w:b/>
          <w:iCs/>
          <w:sz w:val="20"/>
        </w:rPr>
        <w:t xml:space="preserve">, and the gap is </w:t>
      </w:r>
      <w:r w:rsidRPr="00BB1197">
        <w:rPr>
          <w:rFonts w:hint="eastAsia"/>
          <w:b/>
          <w:iCs/>
          <w:sz w:val="20"/>
        </w:rPr>
        <w:t>deactivated</w:t>
      </w:r>
      <w:r w:rsidRPr="00BB1197">
        <w:rPr>
          <w:b/>
          <w:iCs/>
          <w:sz w:val="20"/>
        </w:rPr>
        <w:t xml:space="preserve"> only if the pre-MG status in all CCs </w:t>
      </w:r>
      <w:r w:rsidRPr="00BB1197">
        <w:rPr>
          <w:rFonts w:hint="eastAsia"/>
          <w:b/>
          <w:iCs/>
          <w:sz w:val="20"/>
        </w:rPr>
        <w:t>is deactivation</w:t>
      </w:r>
      <w:r w:rsidRPr="00BB1197">
        <w:rPr>
          <w:b/>
          <w:iCs/>
          <w:sz w:val="20"/>
        </w:rPr>
        <w:t xml:space="preserve">. </w:t>
      </w:r>
    </w:p>
    <w:p w:rsidR="00B46EF5" w:rsidRPr="0002482A" w:rsidRDefault="00F61037" w:rsidP="00F61037">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b/>
          <w:iCs/>
          <w:sz w:val="20"/>
          <w:lang w:val="en-US"/>
        </w:rPr>
      </w:pPr>
      <w:r w:rsidRPr="00BB1197">
        <w:rPr>
          <w:b/>
          <w:iCs/>
          <w:sz w:val="20"/>
        </w:rPr>
        <w:t xml:space="preserve">When configured with per-FR gap, the gap is </w:t>
      </w:r>
      <w:r w:rsidRPr="00BB1197">
        <w:rPr>
          <w:rFonts w:hint="eastAsia"/>
          <w:b/>
          <w:iCs/>
          <w:sz w:val="20"/>
        </w:rPr>
        <w:t>activated</w:t>
      </w:r>
      <w:r w:rsidRPr="00BB1197">
        <w:rPr>
          <w:b/>
          <w:iCs/>
          <w:sz w:val="20"/>
        </w:rPr>
        <w:t xml:space="preserve"> as long as the pre-MG status in one of the CCs</w:t>
      </w:r>
      <w:r w:rsidRPr="00BB1197">
        <w:rPr>
          <w:rFonts w:hint="eastAsia"/>
          <w:b/>
          <w:iCs/>
          <w:sz w:val="20"/>
        </w:rPr>
        <w:t xml:space="preserve"> </w:t>
      </w:r>
      <w:r w:rsidRPr="00BB1197">
        <w:rPr>
          <w:b/>
          <w:iCs/>
          <w:sz w:val="20"/>
        </w:rPr>
        <w:t xml:space="preserve">in the same FR is </w:t>
      </w:r>
      <w:r w:rsidRPr="00BB1197">
        <w:rPr>
          <w:rFonts w:hint="eastAsia"/>
          <w:b/>
          <w:iCs/>
          <w:sz w:val="20"/>
        </w:rPr>
        <w:t>activation</w:t>
      </w:r>
      <w:r w:rsidRPr="00BB1197">
        <w:rPr>
          <w:b/>
          <w:iCs/>
          <w:sz w:val="20"/>
        </w:rPr>
        <w:t xml:space="preserve">, and the gap is </w:t>
      </w:r>
      <w:r w:rsidRPr="00BB1197">
        <w:rPr>
          <w:rFonts w:hint="eastAsia"/>
          <w:b/>
          <w:iCs/>
          <w:sz w:val="20"/>
        </w:rPr>
        <w:t>deactivated</w:t>
      </w:r>
      <w:r w:rsidRPr="00BB1197">
        <w:rPr>
          <w:b/>
          <w:iCs/>
          <w:sz w:val="20"/>
        </w:rPr>
        <w:t xml:space="preserve"> only if the pre-MG status in all CCs</w:t>
      </w:r>
      <w:r w:rsidRPr="00BB1197">
        <w:rPr>
          <w:rFonts w:hint="eastAsia"/>
          <w:b/>
          <w:iCs/>
          <w:sz w:val="20"/>
        </w:rPr>
        <w:t xml:space="preserve"> </w:t>
      </w:r>
      <w:r w:rsidRPr="00BB1197">
        <w:rPr>
          <w:b/>
          <w:iCs/>
          <w:sz w:val="20"/>
        </w:rPr>
        <w:t xml:space="preserve">in the same FR </w:t>
      </w:r>
      <w:r w:rsidRPr="00BB1197">
        <w:rPr>
          <w:rFonts w:hint="eastAsia"/>
          <w:b/>
          <w:iCs/>
          <w:sz w:val="20"/>
        </w:rPr>
        <w:t>is deactivation</w:t>
      </w:r>
      <w:r w:rsidR="00B46EF5" w:rsidRPr="00BB1197">
        <w:rPr>
          <w:rFonts w:eastAsiaTheme="minorEastAsia" w:hint="eastAsia"/>
          <w:b/>
          <w:bCs/>
        </w:rPr>
        <w:t>.</w:t>
      </w:r>
      <w:r w:rsidR="005A70E7" w:rsidRPr="00BB1197">
        <w:rPr>
          <w:rFonts w:eastAsiaTheme="minorEastAsia" w:hint="eastAsia"/>
          <w:b/>
          <w:bCs/>
        </w:rPr>
        <w:t xml:space="preserve"> </w:t>
      </w:r>
    </w:p>
    <w:p w:rsidR="0002482A" w:rsidRPr="00BB1197" w:rsidRDefault="0002482A" w:rsidP="00F61037">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b/>
          <w:iCs/>
          <w:sz w:val="20"/>
          <w:lang w:val="en-US"/>
        </w:rPr>
      </w:pPr>
      <w:r>
        <w:rPr>
          <w:b/>
          <w:iCs/>
          <w:sz w:val="20"/>
        </w:rPr>
        <w:t>W</w:t>
      </w:r>
      <w:r>
        <w:rPr>
          <w:rFonts w:hint="eastAsia"/>
          <w:b/>
          <w:iCs/>
          <w:sz w:val="20"/>
        </w:rPr>
        <w:t xml:space="preserve">hen determining the Pre-MG status, only the activated </w:t>
      </w:r>
      <w:r w:rsidR="00CC3A55">
        <w:rPr>
          <w:rFonts w:hint="eastAsia"/>
          <w:b/>
          <w:iCs/>
          <w:sz w:val="20"/>
        </w:rPr>
        <w:t>CC</w:t>
      </w:r>
      <w:r>
        <w:rPr>
          <w:rFonts w:hint="eastAsia"/>
          <w:b/>
          <w:iCs/>
          <w:sz w:val="20"/>
        </w:rPr>
        <w:t xml:space="preserve"> is considered</w:t>
      </w:r>
      <w:r>
        <w:rPr>
          <w:rFonts w:ascii="Calibri" w:eastAsiaTheme="minorEastAsia" w:hAnsi="Calibri" w:cs="Calibri" w:hint="eastAsia"/>
          <w:b/>
          <w:iCs/>
          <w:sz w:val="20"/>
          <w:lang w:val="en-US"/>
        </w:rPr>
        <w:t xml:space="preserve">. </w:t>
      </w:r>
    </w:p>
    <w:p w:rsidR="00017759" w:rsidRPr="00AD43C9" w:rsidRDefault="001165D1" w:rsidP="003F719A">
      <w:pPr>
        <w:spacing w:beforeLines="50" w:before="120"/>
        <w:rPr>
          <w:b/>
          <w:lang w:val="en-US" w:eastAsia="zh-CN"/>
        </w:rPr>
      </w:pPr>
      <w:r w:rsidRPr="001165D1">
        <w:rPr>
          <w:b/>
          <w:lang w:val="en-US"/>
        </w:rPr>
        <w:t>P</w:t>
      </w:r>
      <w:r w:rsidRPr="001165D1">
        <w:rPr>
          <w:rFonts w:hint="eastAsia"/>
          <w:b/>
          <w:lang w:val="en-US"/>
        </w:rPr>
        <w:t xml:space="preserve">roposal </w:t>
      </w:r>
      <w:r>
        <w:rPr>
          <w:rFonts w:hint="eastAsia"/>
          <w:b/>
          <w:lang w:val="en-US" w:eastAsia="zh-CN"/>
        </w:rPr>
        <w:t>3</w:t>
      </w:r>
      <w:r w:rsidRPr="001165D1">
        <w:rPr>
          <w:rFonts w:hint="eastAsia"/>
          <w:b/>
          <w:lang w:val="en-US"/>
        </w:rPr>
        <w:t xml:space="preserve">: </w:t>
      </w:r>
      <w:r>
        <w:rPr>
          <w:rFonts w:hint="eastAsia"/>
          <w:b/>
          <w:lang w:val="en-US" w:eastAsia="zh-CN"/>
        </w:rPr>
        <w:t>Inform RAN2</w:t>
      </w:r>
      <w:r w:rsidRPr="001165D1">
        <w:rPr>
          <w:rFonts w:hint="eastAsia"/>
          <w:b/>
          <w:lang w:val="en-US"/>
        </w:rPr>
        <w:t xml:space="preserve"> </w:t>
      </w:r>
      <w:r w:rsidR="004D1529">
        <w:rPr>
          <w:rFonts w:hint="eastAsia"/>
          <w:b/>
          <w:lang w:val="en-US" w:eastAsia="zh-CN"/>
        </w:rPr>
        <w:t xml:space="preserve">about </w:t>
      </w:r>
      <w:r>
        <w:rPr>
          <w:rFonts w:hint="eastAsia"/>
          <w:b/>
          <w:lang w:val="en-US" w:eastAsia="zh-CN"/>
        </w:rPr>
        <w:t>the principle in proposal 2 to align the understanding cross groups and help the detailed signaling design</w:t>
      </w:r>
      <w:r w:rsidR="00D92942">
        <w:rPr>
          <w:rFonts w:hint="eastAsia"/>
          <w:b/>
          <w:lang w:val="en-US" w:eastAsia="zh-CN"/>
        </w:rPr>
        <w:t xml:space="preserve"> of CA case</w:t>
      </w:r>
      <w:r>
        <w:rPr>
          <w:rFonts w:hint="eastAsia"/>
          <w:b/>
          <w:lang w:val="en-US" w:eastAsia="zh-CN"/>
        </w:rPr>
        <w:t xml:space="preserve">. </w:t>
      </w:r>
    </w:p>
    <w:p w:rsidR="00C576C0" w:rsidRDefault="00C576C0" w:rsidP="00C576C0">
      <w:pPr>
        <w:pStyle w:val="2"/>
        <w:rPr>
          <w:lang w:val="en-US" w:eastAsia="zh-CN"/>
        </w:rPr>
      </w:pPr>
      <w:r>
        <w:rPr>
          <w:rFonts w:hint="eastAsia"/>
          <w:lang w:val="en-US" w:eastAsia="zh-CN"/>
        </w:rPr>
        <w:t>2.</w:t>
      </w:r>
      <w:r w:rsidR="00A521AB">
        <w:rPr>
          <w:rFonts w:hint="eastAsia"/>
          <w:lang w:val="en-US" w:eastAsia="zh-CN"/>
        </w:rPr>
        <w:t>2</w:t>
      </w:r>
      <w:r>
        <w:rPr>
          <w:rFonts w:hint="eastAsia"/>
          <w:lang w:val="en-US" w:eastAsia="zh-CN"/>
        </w:rPr>
        <w:t xml:space="preserve"> Activation/deactivation procedures</w:t>
      </w:r>
    </w:p>
    <w:tbl>
      <w:tblPr>
        <w:tblStyle w:val="af3"/>
        <w:tblW w:w="0" w:type="auto"/>
        <w:tblLook w:val="04A0" w:firstRow="1" w:lastRow="0" w:firstColumn="1" w:lastColumn="0" w:noHBand="0" w:noVBand="1"/>
      </w:tblPr>
      <w:tblGrid>
        <w:gridCol w:w="9857"/>
      </w:tblGrid>
      <w:tr w:rsidR="00AD2361" w:rsidTr="00AD2361">
        <w:tc>
          <w:tcPr>
            <w:tcW w:w="9857" w:type="dxa"/>
          </w:tcPr>
          <w:p w:rsidR="00990B4C" w:rsidRPr="00990B4C" w:rsidRDefault="00990B4C" w:rsidP="00990B4C">
            <w:pPr>
              <w:rPr>
                <w:rFonts w:eastAsiaTheme="minorEastAsia"/>
                <w:color w:val="0070C0"/>
              </w:rPr>
            </w:pPr>
            <w:r w:rsidRPr="00990B4C">
              <w:rPr>
                <w:rFonts w:eastAsiaTheme="minorEastAsia"/>
                <w:b/>
                <w:bCs/>
                <w:u w:val="single"/>
              </w:rPr>
              <w:t>Trigger events for pre-MG activation/deactivation</w:t>
            </w:r>
            <w:r w:rsidRPr="00990B4C">
              <w:rPr>
                <w:rFonts w:eastAsiaTheme="minorEastAsia" w:hint="eastAsia"/>
                <w:color w:val="0070C0"/>
              </w:rPr>
              <w:t xml:space="preserve"> </w:t>
            </w:r>
          </w:p>
          <w:p w:rsidR="00990B4C" w:rsidRPr="00990B4C" w:rsidRDefault="00990B4C" w:rsidP="00821EA4">
            <w:pPr>
              <w:pStyle w:val="af8"/>
              <w:widowControl/>
              <w:numPr>
                <w:ilvl w:val="0"/>
                <w:numId w:val="14"/>
              </w:numPr>
              <w:spacing w:before="0" w:after="120" w:line="252" w:lineRule="auto"/>
              <w:ind w:firstLineChars="0"/>
              <w:jc w:val="left"/>
              <w:rPr>
                <w:sz w:val="20"/>
                <w:szCs w:val="20"/>
                <w:lang w:eastAsia="ja-JP"/>
              </w:rPr>
            </w:pPr>
            <w:r w:rsidRPr="00990B4C">
              <w:rPr>
                <w:sz w:val="20"/>
                <w:szCs w:val="20"/>
                <w:lang w:eastAsia="ja-JP"/>
              </w:rPr>
              <w:t>For UE to autonomous pre-MG activation/deactivation the following trigger events may change the pre-MG activation status</w:t>
            </w:r>
          </w:p>
          <w:p w:rsidR="00990B4C" w:rsidRPr="00990B4C" w:rsidRDefault="00990B4C" w:rsidP="00821EA4">
            <w:pPr>
              <w:pStyle w:val="af8"/>
              <w:widowControl/>
              <w:numPr>
                <w:ilvl w:val="1"/>
                <w:numId w:val="14"/>
              </w:numPr>
              <w:spacing w:before="0" w:after="120" w:line="252" w:lineRule="auto"/>
              <w:ind w:firstLineChars="0"/>
              <w:jc w:val="left"/>
              <w:rPr>
                <w:sz w:val="20"/>
                <w:szCs w:val="20"/>
                <w:lang w:eastAsia="ja-JP"/>
              </w:rPr>
            </w:pPr>
            <w:r w:rsidRPr="00990B4C">
              <w:rPr>
                <w:sz w:val="20"/>
                <w:szCs w:val="20"/>
                <w:lang w:eastAsia="ja-JP"/>
              </w:rPr>
              <w:t>BWP switching by DCI/Timer based</w:t>
            </w:r>
          </w:p>
          <w:p w:rsidR="00990B4C" w:rsidRPr="00990B4C" w:rsidRDefault="00990B4C" w:rsidP="00821EA4">
            <w:pPr>
              <w:pStyle w:val="af8"/>
              <w:widowControl/>
              <w:numPr>
                <w:ilvl w:val="1"/>
                <w:numId w:val="14"/>
              </w:numPr>
              <w:spacing w:before="0" w:after="120" w:line="252" w:lineRule="auto"/>
              <w:ind w:firstLineChars="0"/>
              <w:jc w:val="left"/>
              <w:rPr>
                <w:sz w:val="20"/>
                <w:szCs w:val="20"/>
                <w:lang w:eastAsia="ja-JP"/>
              </w:rPr>
            </w:pPr>
            <w:r w:rsidRPr="00990B4C">
              <w:rPr>
                <w:sz w:val="20"/>
                <w:szCs w:val="20"/>
                <w:lang w:eastAsia="ja-JP"/>
              </w:rPr>
              <w:t>activation/de-activation of SCell(s)</w:t>
            </w:r>
          </w:p>
          <w:p w:rsidR="00990B4C" w:rsidRPr="00990B4C" w:rsidRDefault="00990B4C" w:rsidP="00821EA4">
            <w:pPr>
              <w:pStyle w:val="af8"/>
              <w:widowControl/>
              <w:numPr>
                <w:ilvl w:val="0"/>
                <w:numId w:val="14"/>
              </w:numPr>
              <w:spacing w:before="0" w:after="120" w:line="252" w:lineRule="auto"/>
              <w:ind w:firstLineChars="0"/>
              <w:jc w:val="left"/>
              <w:rPr>
                <w:sz w:val="20"/>
                <w:szCs w:val="20"/>
                <w:lang w:eastAsia="ja-JP"/>
              </w:rPr>
            </w:pPr>
            <w:r w:rsidRPr="00990B4C">
              <w:rPr>
                <w:sz w:val="20"/>
                <w:szCs w:val="20"/>
                <w:lang w:eastAsia="ja-JP"/>
              </w:rPr>
              <w:t>FFS how to handle other cases in terms of UE and NW behavior</w:t>
            </w:r>
          </w:p>
          <w:p w:rsidR="00990B4C" w:rsidRPr="00990B4C" w:rsidRDefault="00990B4C" w:rsidP="00821EA4">
            <w:pPr>
              <w:pStyle w:val="af8"/>
              <w:widowControl/>
              <w:numPr>
                <w:ilvl w:val="1"/>
                <w:numId w:val="14"/>
              </w:numPr>
              <w:spacing w:before="0" w:after="120" w:line="252" w:lineRule="auto"/>
              <w:ind w:firstLineChars="0"/>
              <w:jc w:val="left"/>
              <w:rPr>
                <w:sz w:val="20"/>
                <w:szCs w:val="20"/>
                <w:lang w:eastAsia="ja-JP"/>
              </w:rPr>
            </w:pPr>
            <w:r w:rsidRPr="00990B4C">
              <w:rPr>
                <w:bCs/>
                <w:sz w:val="20"/>
                <w:szCs w:val="20"/>
              </w:rPr>
              <w:t>addition/removal of any measurement object(s)</w:t>
            </w:r>
          </w:p>
          <w:p w:rsidR="00990B4C" w:rsidRPr="00990B4C" w:rsidRDefault="00990B4C" w:rsidP="00821EA4">
            <w:pPr>
              <w:pStyle w:val="af8"/>
              <w:widowControl/>
              <w:numPr>
                <w:ilvl w:val="1"/>
                <w:numId w:val="14"/>
              </w:numPr>
              <w:spacing w:before="0" w:after="120" w:line="252" w:lineRule="auto"/>
              <w:ind w:firstLineChars="0"/>
              <w:jc w:val="left"/>
              <w:rPr>
                <w:sz w:val="20"/>
                <w:szCs w:val="20"/>
                <w:lang w:eastAsia="ja-JP"/>
              </w:rPr>
            </w:pPr>
            <w:r w:rsidRPr="00990B4C">
              <w:rPr>
                <w:sz w:val="20"/>
                <w:szCs w:val="20"/>
                <w:lang w:eastAsia="ja-JP"/>
              </w:rPr>
              <w:t xml:space="preserve">addition/release/change of a SCell under CA </w:t>
            </w:r>
          </w:p>
          <w:p w:rsidR="00990B4C" w:rsidRPr="00990B4C" w:rsidRDefault="00990B4C" w:rsidP="00821EA4">
            <w:pPr>
              <w:pStyle w:val="af8"/>
              <w:widowControl/>
              <w:numPr>
                <w:ilvl w:val="1"/>
                <w:numId w:val="14"/>
              </w:numPr>
              <w:spacing w:before="0" w:after="120" w:line="252" w:lineRule="auto"/>
              <w:ind w:firstLineChars="0"/>
              <w:jc w:val="left"/>
              <w:rPr>
                <w:sz w:val="20"/>
                <w:szCs w:val="20"/>
                <w:lang w:eastAsia="ja-JP"/>
              </w:rPr>
            </w:pPr>
            <w:r w:rsidRPr="00990B4C">
              <w:rPr>
                <w:sz w:val="20"/>
                <w:szCs w:val="20"/>
                <w:lang w:eastAsia="ja-JP"/>
              </w:rPr>
              <w:t>BWP switching by RRC</w:t>
            </w:r>
          </w:p>
          <w:p w:rsidR="00AD2361" w:rsidRPr="00990B4C" w:rsidRDefault="00990B4C" w:rsidP="00821EA4">
            <w:pPr>
              <w:pStyle w:val="af8"/>
              <w:widowControl/>
              <w:numPr>
                <w:ilvl w:val="1"/>
                <w:numId w:val="14"/>
              </w:numPr>
              <w:spacing w:before="0" w:after="120" w:line="252" w:lineRule="auto"/>
              <w:ind w:firstLineChars="0"/>
              <w:jc w:val="left"/>
              <w:rPr>
                <w:lang w:eastAsia="ja-JP"/>
              </w:rPr>
            </w:pPr>
            <w:r w:rsidRPr="00990B4C">
              <w:rPr>
                <w:sz w:val="20"/>
                <w:szCs w:val="20"/>
                <w:lang w:eastAsia="ja-JP"/>
              </w:rPr>
              <w:t>LPP positioning request</w:t>
            </w:r>
          </w:p>
        </w:tc>
      </w:tr>
    </w:tbl>
    <w:p w:rsidR="0082706B" w:rsidRDefault="0082706B" w:rsidP="00B46DA6">
      <w:pPr>
        <w:spacing w:beforeLines="50" w:before="120"/>
        <w:rPr>
          <w:lang w:val="en-US" w:eastAsia="zh-CN"/>
        </w:rPr>
      </w:pPr>
      <w:r>
        <w:rPr>
          <w:lang w:val="en-US" w:eastAsia="zh-CN"/>
        </w:rPr>
        <w:t>F</w:t>
      </w:r>
      <w:r>
        <w:rPr>
          <w:rFonts w:hint="eastAsia"/>
          <w:lang w:val="en-US" w:eastAsia="zh-CN"/>
        </w:rPr>
        <w:t xml:space="preserve">or the trigger event, </w:t>
      </w:r>
      <w:r w:rsidR="004C3C16">
        <w:rPr>
          <w:rFonts w:hint="eastAsia"/>
          <w:lang w:val="en-US" w:eastAsia="zh-CN"/>
        </w:rPr>
        <w:t xml:space="preserve">our initial view is to only consider TCI/timer based BWP switching according to the WID scope. </w:t>
      </w:r>
      <w:r w:rsidR="004C3C16">
        <w:rPr>
          <w:lang w:val="en-US" w:eastAsia="zh-CN"/>
        </w:rPr>
        <w:t>B</w:t>
      </w:r>
      <w:r w:rsidR="004C3C16">
        <w:rPr>
          <w:rFonts w:hint="eastAsia"/>
          <w:lang w:val="en-US" w:eastAsia="zh-CN"/>
        </w:rPr>
        <w:t xml:space="preserve">ut since in last meeting, it has been agreed to consider Scell activation/deactivation, we are fine to include it since anyway there will be some benefit for MAC CE based procedure. </w:t>
      </w:r>
      <w:r w:rsidR="004C3C16">
        <w:rPr>
          <w:lang w:val="en-US" w:eastAsia="zh-CN"/>
        </w:rPr>
        <w:t>B</w:t>
      </w:r>
      <w:r w:rsidR="004C3C16">
        <w:rPr>
          <w:rFonts w:hint="eastAsia"/>
          <w:lang w:val="en-US" w:eastAsia="zh-CN"/>
        </w:rPr>
        <w:t>ut for the events in FFS part which are RRC based procedure</w:t>
      </w:r>
      <w:r w:rsidR="00571EF8">
        <w:rPr>
          <w:rFonts w:hint="eastAsia"/>
          <w:lang w:val="en-US" w:eastAsia="zh-CN"/>
        </w:rPr>
        <w:t>s</w:t>
      </w:r>
      <w:r w:rsidR="004C3C16">
        <w:rPr>
          <w:rFonts w:hint="eastAsia"/>
          <w:lang w:val="en-US" w:eastAsia="zh-CN"/>
        </w:rPr>
        <w:t xml:space="preserve">, since NW can configure the measurement gap in the same RRC message with trigger event, there is no need to use the pre-configured MG. </w:t>
      </w:r>
      <w:r w:rsidR="006D49C3">
        <w:rPr>
          <w:rFonts w:hint="eastAsia"/>
          <w:lang w:val="en-US" w:eastAsia="zh-CN"/>
        </w:rPr>
        <w:t xml:space="preserve">This has been discussed in previous meeting when discussing </w:t>
      </w:r>
      <w:r w:rsidR="00154E06">
        <w:rPr>
          <w:rFonts w:hint="eastAsia"/>
          <w:lang w:val="en-US" w:eastAsia="zh-CN"/>
        </w:rPr>
        <w:t xml:space="preserve">RRC based </w:t>
      </w:r>
      <w:r w:rsidR="006D49C3">
        <w:rPr>
          <w:rFonts w:hint="eastAsia"/>
          <w:lang w:val="en-US" w:eastAsia="zh-CN"/>
        </w:rPr>
        <w:t xml:space="preserve">BWP switching. </w:t>
      </w:r>
    </w:p>
    <w:p w:rsidR="00D14CBC" w:rsidRPr="00AD43C9" w:rsidRDefault="00D14CBC" w:rsidP="00D14CBC">
      <w:pPr>
        <w:spacing w:beforeLines="50" w:before="120"/>
        <w:rPr>
          <w:b/>
          <w:lang w:val="en-US" w:eastAsia="zh-CN"/>
        </w:rPr>
      </w:pPr>
      <w:r w:rsidRPr="001165D1">
        <w:rPr>
          <w:b/>
          <w:lang w:val="en-US"/>
        </w:rPr>
        <w:t>P</w:t>
      </w:r>
      <w:r w:rsidRPr="001165D1">
        <w:rPr>
          <w:rFonts w:hint="eastAsia"/>
          <w:b/>
          <w:lang w:val="en-US"/>
        </w:rPr>
        <w:t xml:space="preserve">roposal </w:t>
      </w:r>
      <w:r>
        <w:rPr>
          <w:rFonts w:hint="eastAsia"/>
          <w:b/>
          <w:lang w:val="en-US" w:eastAsia="zh-CN"/>
        </w:rPr>
        <w:t>4</w:t>
      </w:r>
      <w:r w:rsidRPr="001165D1">
        <w:rPr>
          <w:rFonts w:hint="eastAsia"/>
          <w:b/>
          <w:lang w:val="en-US"/>
        </w:rPr>
        <w:t xml:space="preserve">: </w:t>
      </w:r>
      <w:r>
        <w:rPr>
          <w:rFonts w:hint="eastAsia"/>
          <w:b/>
          <w:lang w:val="en-US" w:eastAsia="zh-CN"/>
        </w:rPr>
        <w:t xml:space="preserve">Do not consider additional trigger event for pre-configured MG. </w:t>
      </w:r>
    </w:p>
    <w:tbl>
      <w:tblPr>
        <w:tblStyle w:val="af3"/>
        <w:tblW w:w="0" w:type="auto"/>
        <w:tblLook w:val="04A0" w:firstRow="1" w:lastRow="0" w:firstColumn="1" w:lastColumn="0" w:noHBand="0" w:noVBand="1"/>
      </w:tblPr>
      <w:tblGrid>
        <w:gridCol w:w="9857"/>
      </w:tblGrid>
      <w:tr w:rsidR="005B3B0A" w:rsidTr="005B3B0A">
        <w:tc>
          <w:tcPr>
            <w:tcW w:w="9857" w:type="dxa"/>
          </w:tcPr>
          <w:p w:rsidR="00821EA4" w:rsidRPr="00821EA4" w:rsidRDefault="00821EA4" w:rsidP="00821EA4">
            <w:pPr>
              <w:rPr>
                <w:rFonts w:eastAsiaTheme="minorEastAsia"/>
                <w:color w:val="0070C0"/>
                <w:lang w:eastAsia="zh-CN"/>
              </w:rPr>
            </w:pPr>
            <w:r w:rsidRPr="00821EA4">
              <w:rPr>
                <w:rFonts w:eastAsiaTheme="minorEastAsia"/>
                <w:b/>
                <w:bCs/>
                <w:u w:val="single"/>
              </w:rPr>
              <w:t>Criteria for the signaling-based pre-MG (de)activation under CA</w:t>
            </w:r>
            <w:r w:rsidRPr="00821EA4">
              <w:rPr>
                <w:rFonts w:eastAsiaTheme="minorEastAsia" w:hint="eastAsia"/>
                <w:color w:val="0070C0"/>
              </w:rPr>
              <w:t xml:space="preserve"> </w:t>
            </w:r>
          </w:p>
          <w:p w:rsidR="00821EA4" w:rsidRPr="00821EA4" w:rsidRDefault="00821EA4" w:rsidP="00821EA4">
            <w:pPr>
              <w:rPr>
                <w:b/>
                <w:bCs/>
              </w:rPr>
            </w:pPr>
            <w:r w:rsidRPr="00821EA4">
              <w:rPr>
                <w:b/>
                <w:bCs/>
              </w:rPr>
              <w:t>The principle for the signaling-based Pre-MG (de)activation under CA can be based on:</w:t>
            </w:r>
          </w:p>
          <w:p w:rsidR="00821EA4" w:rsidRPr="00821EA4" w:rsidRDefault="00821EA4" w:rsidP="00821EA4">
            <w:pPr>
              <w:pStyle w:val="af8"/>
              <w:widowControl/>
              <w:numPr>
                <w:ilvl w:val="0"/>
                <w:numId w:val="6"/>
              </w:numPr>
              <w:overflowPunct w:val="0"/>
              <w:autoSpaceDE w:val="0"/>
              <w:autoSpaceDN w:val="0"/>
              <w:adjustRightInd w:val="0"/>
              <w:spacing w:before="0" w:after="180" w:line="259" w:lineRule="auto"/>
              <w:ind w:firstLineChars="0"/>
              <w:jc w:val="left"/>
              <w:textAlignment w:val="baseline"/>
              <w:rPr>
                <w:rFonts w:eastAsiaTheme="minorEastAsia"/>
                <w:b/>
                <w:sz w:val="20"/>
                <w:szCs w:val="20"/>
              </w:rPr>
            </w:pPr>
            <w:r w:rsidRPr="00821EA4">
              <w:rPr>
                <w:rFonts w:eastAsiaTheme="minorEastAsia"/>
                <w:b/>
                <w:sz w:val="20"/>
                <w:szCs w:val="20"/>
              </w:rPr>
              <w:t>NW will forward the per-BWP pre-MG status indications to UE by RRC message, which is defined for each of induvial CCs (e.g. Table S1, S2 for the CC1 and CC2 respectively)</w:t>
            </w:r>
          </w:p>
          <w:p w:rsidR="00821EA4" w:rsidRPr="00821EA4" w:rsidRDefault="00821EA4" w:rsidP="00821EA4">
            <w:pPr>
              <w:pStyle w:val="af8"/>
              <w:widowControl/>
              <w:numPr>
                <w:ilvl w:val="0"/>
                <w:numId w:val="6"/>
              </w:numPr>
              <w:overflowPunct w:val="0"/>
              <w:autoSpaceDE w:val="0"/>
              <w:autoSpaceDN w:val="0"/>
              <w:adjustRightInd w:val="0"/>
              <w:spacing w:before="0" w:after="180" w:line="259" w:lineRule="auto"/>
              <w:ind w:firstLineChars="0"/>
              <w:jc w:val="left"/>
              <w:textAlignment w:val="baseline"/>
              <w:rPr>
                <w:rFonts w:eastAsiaTheme="minorEastAsia"/>
                <w:b/>
                <w:sz w:val="20"/>
                <w:szCs w:val="20"/>
              </w:rPr>
            </w:pPr>
            <w:r w:rsidRPr="00821EA4">
              <w:rPr>
                <w:rFonts w:eastAsiaTheme="minorEastAsia"/>
                <w:b/>
                <w:sz w:val="20"/>
                <w:szCs w:val="20"/>
              </w:rPr>
              <w:t>UE will combined the pre-MG status indication from NW for each induvial CC for all configured measurement objects.</w:t>
            </w:r>
          </w:p>
          <w:p w:rsidR="005B3B0A" w:rsidRDefault="00821EA4" w:rsidP="00821EA4">
            <w:pPr>
              <w:overflowPunct w:val="0"/>
              <w:autoSpaceDE w:val="0"/>
              <w:autoSpaceDN w:val="0"/>
              <w:adjustRightInd w:val="0"/>
              <w:spacing w:line="259" w:lineRule="auto"/>
              <w:textAlignment w:val="baseline"/>
              <w:rPr>
                <w:rFonts w:eastAsiaTheme="minorEastAsia"/>
                <w:b/>
                <w:lang w:eastAsia="zh-CN"/>
              </w:rPr>
            </w:pPr>
            <w:r w:rsidRPr="00821EA4">
              <w:rPr>
                <w:rFonts w:eastAsiaTheme="minorEastAsia"/>
                <w:b/>
              </w:rPr>
              <w:t>FFS on the rules on how to combine the i</w:t>
            </w:r>
            <w:r>
              <w:rPr>
                <w:rFonts w:eastAsiaTheme="minorEastAsia"/>
                <w:b/>
              </w:rPr>
              <w:t>ndividual per-BWP pre-MG status</w:t>
            </w:r>
            <w:r w:rsidRPr="00821EA4">
              <w:rPr>
                <w:rFonts w:eastAsiaTheme="minorEastAsia"/>
                <w:b/>
              </w:rPr>
              <w:t>.</w:t>
            </w:r>
          </w:p>
          <w:p w:rsidR="00AC6215" w:rsidRPr="00AC6215" w:rsidRDefault="00AC6215" w:rsidP="00AC6215">
            <w:pPr>
              <w:pStyle w:val="af8"/>
              <w:widowControl/>
              <w:numPr>
                <w:ilvl w:val="1"/>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Option 1a</w:t>
            </w:r>
          </w:p>
          <w:p w:rsidR="00AC6215" w:rsidRPr="00AC6215" w:rsidRDefault="00AC6215" w:rsidP="00AC6215">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When configured with per-UE gap,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assume the per-UE gap is ON as long as the pre-MG status of active DL BWP in one of the CCs is ON,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lastRenderedPageBreak/>
              <w:t xml:space="preserve">and assume the per-UE gap is OFF only if the pre-MG status of active DL BWP in all CCs are OFF. </w:t>
            </w:r>
          </w:p>
          <w:p w:rsidR="00AC6215" w:rsidRPr="00AC6215" w:rsidRDefault="00AC6215" w:rsidP="00AC6215">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When configured with per-FR gap,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assume the gap is ON as long as the pre-MG status of active DL BWP in one of the CCs in the same FR is ON,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and assume the gap is OFF only if the pre-MG status of active DL active DL BWP in all CCs in the same FR are OFF</w:t>
            </w:r>
          </w:p>
          <w:p w:rsidR="00AC6215" w:rsidRPr="00AC6215" w:rsidRDefault="00AC6215" w:rsidP="00AC6215">
            <w:pPr>
              <w:pStyle w:val="af8"/>
              <w:widowControl/>
              <w:numPr>
                <w:ilvl w:val="1"/>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Option 1b </w:t>
            </w:r>
          </w:p>
          <w:p w:rsidR="00AC6215" w:rsidRPr="00AC6215" w:rsidRDefault="00AC6215" w:rsidP="00AC6215">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For per-UE pre-MG,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UE assumes the pre-MG is ON as long as the pre-MG status for active DL BWP in one of the activated CCs or for one of the deactivated SCCs is ON,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and assume the pre-MG is OFF only if the pre-MG status for active DL BWP in all activated CCs and for all deactivated SCCs are OFF. </w:t>
            </w:r>
          </w:p>
          <w:p w:rsidR="00AC6215" w:rsidRPr="00AC6215" w:rsidRDefault="00AC6215" w:rsidP="00AC6215">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For per-FR pre-MG,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color w:val="0070C0"/>
                <w:sz w:val="20"/>
              </w:rPr>
            </w:pPr>
            <w:r w:rsidRPr="00AC6215">
              <w:rPr>
                <w:rFonts w:eastAsiaTheme="minorEastAsia"/>
                <w:b/>
                <w:sz w:val="20"/>
              </w:rPr>
              <w:t xml:space="preserve">UE assumes the pre-MG is ON as long as the pre-MG status for active DL BWP in one of the activated CCs or for one of the deactivated SCCs in the same FR is ON, </w:t>
            </w:r>
          </w:p>
          <w:p w:rsidR="00AC6215" w:rsidRPr="00AC6215" w:rsidRDefault="00AC6215" w:rsidP="00AC6215">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color w:val="0070C0"/>
              </w:rPr>
            </w:pPr>
            <w:r w:rsidRPr="00AC6215">
              <w:rPr>
                <w:rFonts w:eastAsiaTheme="minorEastAsia"/>
                <w:b/>
                <w:sz w:val="20"/>
              </w:rPr>
              <w:t>and assume the pre-MG is OFF only if the pre-MG status for active DL BWP in all activated CCs and for all deactivated SCCs in the same FR are OFF</w:t>
            </w:r>
          </w:p>
        </w:tc>
      </w:tr>
    </w:tbl>
    <w:p w:rsidR="00F64B28" w:rsidRDefault="00F64B28" w:rsidP="00F64B28">
      <w:pPr>
        <w:spacing w:beforeLines="50" w:before="120"/>
        <w:rPr>
          <w:lang w:val="en-US" w:eastAsia="zh-CN"/>
        </w:rPr>
      </w:pPr>
      <w:r>
        <w:rPr>
          <w:lang w:val="en-US" w:eastAsia="zh-CN"/>
        </w:rPr>
        <w:lastRenderedPageBreak/>
        <w:t>F</w:t>
      </w:r>
      <w:r>
        <w:rPr>
          <w:rFonts w:hint="eastAsia"/>
          <w:lang w:val="en-US" w:eastAsia="zh-CN"/>
        </w:rPr>
        <w:t>or NW-controlled activation/deactivation mechanism,</w:t>
      </w:r>
      <w:r w:rsidR="00FA2455">
        <w:rPr>
          <w:rFonts w:hint="eastAsia"/>
          <w:lang w:val="en-US" w:eastAsia="zh-CN"/>
        </w:rPr>
        <w:t xml:space="preserve"> it has been</w:t>
      </w:r>
      <w:r w:rsidR="00BB3391">
        <w:rPr>
          <w:rFonts w:hint="eastAsia"/>
          <w:lang w:val="en-US" w:eastAsia="zh-CN"/>
        </w:rPr>
        <w:t xml:space="preserve"> </w:t>
      </w:r>
      <w:r w:rsidR="00210674">
        <w:rPr>
          <w:rFonts w:hint="eastAsia"/>
          <w:lang w:val="en-US" w:eastAsia="zh-CN"/>
        </w:rPr>
        <w:t xml:space="preserve">agreed in last meeting that </w:t>
      </w:r>
      <w:r w:rsidR="00BB3391">
        <w:rPr>
          <w:rFonts w:hint="eastAsia"/>
          <w:lang w:val="en-US" w:eastAsia="zh-CN"/>
        </w:rPr>
        <w:t xml:space="preserve">NW will </w:t>
      </w:r>
      <w:r w:rsidR="00AD5F61">
        <w:rPr>
          <w:rFonts w:hint="eastAsia"/>
          <w:lang w:val="en-US" w:eastAsia="zh-CN"/>
        </w:rPr>
        <w:t>indicate per BWP status indication for each CC</w:t>
      </w:r>
      <w:r w:rsidR="00224441">
        <w:rPr>
          <w:rFonts w:hint="eastAsia"/>
          <w:lang w:val="en-US" w:eastAsia="zh-CN"/>
        </w:rPr>
        <w:t>. And for the final Pre-MG statu</w:t>
      </w:r>
      <w:r w:rsidR="008F5069">
        <w:rPr>
          <w:rFonts w:hint="eastAsia"/>
          <w:lang w:val="en-US" w:eastAsia="zh-CN"/>
        </w:rPr>
        <w:t>s of combined CCs, companies have</w:t>
      </w:r>
      <w:r w:rsidR="00224441">
        <w:rPr>
          <w:rFonts w:hint="eastAsia"/>
          <w:lang w:val="en-US" w:eastAsia="zh-CN"/>
        </w:rPr>
        <w:t xml:space="preserve"> very similar view and the only divergence is whether to include deactivated SCC</w:t>
      </w:r>
      <w:r w:rsidR="001470EC">
        <w:rPr>
          <w:rFonts w:hint="eastAsia"/>
          <w:lang w:val="en-US" w:eastAsia="zh-CN"/>
        </w:rPr>
        <w:t xml:space="preserve">. </w:t>
      </w:r>
      <w:r w:rsidR="00521F6D">
        <w:rPr>
          <w:lang w:val="en-US" w:eastAsia="zh-CN"/>
        </w:rPr>
        <w:t>I</w:t>
      </w:r>
      <w:r w:rsidR="00521F6D">
        <w:rPr>
          <w:rFonts w:hint="eastAsia"/>
          <w:lang w:val="en-US" w:eastAsia="zh-CN"/>
        </w:rPr>
        <w:t>n our understanding, there is no need to consider the deactivated SCC</w:t>
      </w:r>
      <w:r w:rsidR="00B9019D">
        <w:rPr>
          <w:rFonts w:hint="eastAsia"/>
          <w:lang w:val="en-US" w:eastAsia="zh-CN"/>
        </w:rPr>
        <w:t xml:space="preserve"> since there is no Scell activation/activation considered </w:t>
      </w:r>
      <w:r w:rsidR="0007423F">
        <w:rPr>
          <w:rFonts w:hint="eastAsia"/>
          <w:lang w:val="en-US" w:eastAsia="zh-CN"/>
        </w:rPr>
        <w:t>when we define the Pre-MG status for combined CCs</w:t>
      </w:r>
      <w:r w:rsidR="00B9019D">
        <w:rPr>
          <w:rFonts w:hint="eastAsia"/>
          <w:lang w:val="en-US" w:eastAsia="zh-CN"/>
        </w:rPr>
        <w:t xml:space="preserve">. </w:t>
      </w:r>
      <w:r w:rsidR="0087168B">
        <w:rPr>
          <w:lang w:val="en-US" w:eastAsia="zh-CN"/>
        </w:rPr>
        <w:t>I</w:t>
      </w:r>
      <w:r w:rsidR="0087168B">
        <w:rPr>
          <w:rFonts w:hint="eastAsia"/>
          <w:lang w:val="en-US" w:eastAsia="zh-CN"/>
        </w:rPr>
        <w:t xml:space="preserve">f Scell activation/deactivation occurs, UE will restart the Pre-MG status determination after the Scell activation/deactivation procedure is completed. </w:t>
      </w:r>
    </w:p>
    <w:p w:rsidR="00C9358C" w:rsidRDefault="00C9358C" w:rsidP="00C9358C">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 xml:space="preserve">roposal </w:t>
      </w:r>
      <w:r>
        <w:rPr>
          <w:rFonts w:hint="eastAsia"/>
          <w:b/>
          <w:lang w:val="en-US" w:eastAsia="zh-CN"/>
        </w:rPr>
        <w:t>5</w:t>
      </w:r>
      <w:r w:rsidRPr="001165D1">
        <w:rPr>
          <w:rFonts w:hint="eastAsia"/>
          <w:b/>
          <w:lang w:val="en-US"/>
        </w:rPr>
        <w:t xml:space="preserve">: </w:t>
      </w:r>
      <w:r>
        <w:rPr>
          <w:rFonts w:hint="eastAsia"/>
          <w:b/>
          <w:lang w:val="en-US" w:eastAsia="zh-CN"/>
        </w:rPr>
        <w:t xml:space="preserve">Accept option 1a for </w:t>
      </w:r>
      <w:r w:rsidRPr="00821EA4">
        <w:rPr>
          <w:rFonts w:eastAsiaTheme="minorEastAsia"/>
          <w:b/>
        </w:rPr>
        <w:t>the rules on how to combine the i</w:t>
      </w:r>
      <w:r>
        <w:rPr>
          <w:rFonts w:eastAsiaTheme="minorEastAsia"/>
          <w:b/>
        </w:rPr>
        <w:t>ndividual per-BWP pre-MG status</w:t>
      </w:r>
      <w:r w:rsidRPr="00821EA4">
        <w:rPr>
          <w:rFonts w:eastAsiaTheme="minorEastAsia"/>
          <w:b/>
        </w:rPr>
        <w:t>.</w:t>
      </w:r>
    </w:p>
    <w:p w:rsidR="0086461E" w:rsidRPr="00AC6215" w:rsidRDefault="0086461E" w:rsidP="0086461E">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When configured with per-UE gap, </w:t>
      </w:r>
    </w:p>
    <w:p w:rsidR="0086461E" w:rsidRPr="00AC6215" w:rsidRDefault="0086461E" w:rsidP="0086461E">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assume the per-UE gap is ON as long as the pre-MG status of active DL BWP in one of the CCs is ON, </w:t>
      </w:r>
    </w:p>
    <w:p w:rsidR="0086461E" w:rsidRPr="00AC6215" w:rsidRDefault="0086461E" w:rsidP="0086461E">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and assume the per-UE gap is OFF only if the pre-MG status of active DL BWP in all CCs are OFF. </w:t>
      </w:r>
    </w:p>
    <w:p w:rsidR="0086461E" w:rsidRPr="00AC6215" w:rsidRDefault="0086461E" w:rsidP="0086461E">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When configured with per-FR gap, </w:t>
      </w:r>
    </w:p>
    <w:p w:rsidR="0086461E" w:rsidRPr="00AC6215" w:rsidRDefault="0086461E" w:rsidP="0086461E">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assume the gap is ON as long as the pre-MG status of active DL BWP in one of the CCs in the same FR is ON, </w:t>
      </w:r>
    </w:p>
    <w:p w:rsidR="0086461E" w:rsidRPr="00AC6215" w:rsidRDefault="0086461E" w:rsidP="0086461E">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and assume the gap is OFF only if the pre-MG status of active DL active DL BWP in all CCs in the same FR are OFF</w:t>
      </w:r>
    </w:p>
    <w:tbl>
      <w:tblPr>
        <w:tblStyle w:val="af3"/>
        <w:tblW w:w="0" w:type="auto"/>
        <w:tblLook w:val="04A0" w:firstRow="1" w:lastRow="0" w:firstColumn="1" w:lastColumn="0" w:noHBand="0" w:noVBand="1"/>
      </w:tblPr>
      <w:tblGrid>
        <w:gridCol w:w="9857"/>
      </w:tblGrid>
      <w:tr w:rsidR="003C125B" w:rsidTr="003C125B">
        <w:tc>
          <w:tcPr>
            <w:tcW w:w="9857" w:type="dxa"/>
          </w:tcPr>
          <w:p w:rsidR="003C125B" w:rsidRPr="003C125B" w:rsidRDefault="003C125B" w:rsidP="003C125B">
            <w:pPr>
              <w:pStyle w:val="4"/>
              <w:ind w:left="0" w:firstLine="0"/>
              <w:outlineLvl w:val="3"/>
              <w:rPr>
                <w:rFonts w:eastAsiaTheme="minorEastAsia"/>
                <w:b/>
                <w:bCs/>
                <w:sz w:val="20"/>
                <w:u w:val="single"/>
                <w:lang w:val="en-US"/>
              </w:rPr>
            </w:pPr>
            <w:r w:rsidRPr="003C125B">
              <w:rPr>
                <w:rFonts w:eastAsiaTheme="minorEastAsia"/>
                <w:b/>
                <w:bCs/>
                <w:sz w:val="20"/>
                <w:u w:val="single"/>
                <w:lang w:val="en-US"/>
              </w:rPr>
              <w:t>How to determine pre-MG (de)activation status when multiple trigger events happened</w:t>
            </w:r>
          </w:p>
          <w:p w:rsidR="003C125B" w:rsidRPr="003C125B" w:rsidRDefault="003C125B" w:rsidP="003C125B">
            <w:pPr>
              <w:rPr>
                <w:rFonts w:eastAsiaTheme="minorEastAsia"/>
              </w:rPr>
            </w:pPr>
            <w:r w:rsidRPr="003C125B">
              <w:rPr>
                <w:rFonts w:eastAsiaTheme="minorEastAsia"/>
              </w:rPr>
              <w:t>FFS on</w:t>
            </w:r>
            <w:r w:rsidRPr="003C125B">
              <w:rPr>
                <w:rFonts w:eastAsiaTheme="minorEastAsia" w:hint="eastAsia"/>
              </w:rPr>
              <w:t>:</w:t>
            </w:r>
          </w:p>
          <w:p w:rsidR="003C125B" w:rsidRDefault="003C125B" w:rsidP="003C125B">
            <w:pPr>
              <w:spacing w:beforeLines="50" w:before="120"/>
              <w:rPr>
                <w:lang w:eastAsia="zh-CN"/>
              </w:rPr>
            </w:pPr>
            <w:r w:rsidRPr="003C125B">
              <w:rPr>
                <w:rFonts w:eastAsiaTheme="minorEastAsia"/>
                <w:b/>
              </w:rPr>
              <w:t>Option 1: pre-MG can be (de)activated by BWP switching and SCell activation independently</w:t>
            </w:r>
          </w:p>
        </w:tc>
      </w:tr>
    </w:tbl>
    <w:p w:rsidR="00DE303C" w:rsidRDefault="0055579E" w:rsidP="00F64B28">
      <w:pPr>
        <w:spacing w:beforeLines="50" w:before="120"/>
        <w:rPr>
          <w:lang w:eastAsia="zh-CN"/>
        </w:rPr>
      </w:pPr>
      <w:r>
        <w:rPr>
          <w:lang w:eastAsia="zh-CN"/>
        </w:rPr>
        <w:t>F</w:t>
      </w:r>
      <w:r>
        <w:rPr>
          <w:rFonts w:hint="eastAsia"/>
          <w:lang w:eastAsia="zh-CN"/>
        </w:rPr>
        <w:t xml:space="preserve">or the case when multiple trigger events happened, generally we think the pre-MG status is determined by each trigger event independently. </w:t>
      </w:r>
      <w:r w:rsidR="00F35051">
        <w:rPr>
          <w:lang w:eastAsia="zh-CN"/>
        </w:rPr>
        <w:t>B</w:t>
      </w:r>
      <w:r w:rsidR="00F35051">
        <w:rPr>
          <w:rFonts w:hint="eastAsia"/>
          <w:lang w:eastAsia="zh-CN"/>
        </w:rPr>
        <w:t xml:space="preserve">ut </w:t>
      </w:r>
      <w:r w:rsidR="00CF2669">
        <w:rPr>
          <w:rFonts w:hint="eastAsia"/>
          <w:lang w:eastAsia="zh-CN"/>
        </w:rPr>
        <w:t xml:space="preserve">actually UE just need to </w:t>
      </w:r>
      <w:r w:rsidR="00BD6457">
        <w:rPr>
          <w:rFonts w:hint="eastAsia"/>
          <w:lang w:eastAsia="zh-CN"/>
        </w:rPr>
        <w:t xml:space="preserve">determine the Pre-MG status once when multiple events are all completed and </w:t>
      </w:r>
      <w:r w:rsidR="00F35051">
        <w:rPr>
          <w:rFonts w:hint="eastAsia"/>
          <w:lang w:eastAsia="zh-CN"/>
        </w:rPr>
        <w:t>we are not sure if there are such cases existing</w:t>
      </w:r>
      <w:r w:rsidR="003459A8">
        <w:rPr>
          <w:rFonts w:hint="eastAsia"/>
          <w:lang w:eastAsia="zh-CN"/>
        </w:rPr>
        <w:t xml:space="preserve">, e.g. what is the scenario </w:t>
      </w:r>
      <w:r w:rsidR="00F35051">
        <w:rPr>
          <w:rFonts w:hint="eastAsia"/>
          <w:lang w:eastAsia="zh-CN"/>
        </w:rPr>
        <w:t>when BWP switching</w:t>
      </w:r>
      <w:r w:rsidR="003459A8">
        <w:rPr>
          <w:rFonts w:hint="eastAsia"/>
          <w:lang w:eastAsia="zh-CN"/>
        </w:rPr>
        <w:t xml:space="preserve"> and SCell activation is triggered simultaneously. </w:t>
      </w:r>
      <w:r w:rsidR="00F2676C">
        <w:rPr>
          <w:lang w:eastAsia="zh-CN"/>
        </w:rPr>
        <w:t>W</w:t>
      </w:r>
      <w:r w:rsidR="00F2676C">
        <w:rPr>
          <w:rFonts w:hint="eastAsia"/>
          <w:lang w:eastAsia="zh-CN"/>
        </w:rPr>
        <w:t>e think there is no need to consider the combined case</w:t>
      </w:r>
      <w:r w:rsidR="00D42C37">
        <w:rPr>
          <w:rFonts w:hint="eastAsia"/>
          <w:lang w:eastAsia="zh-CN"/>
        </w:rPr>
        <w:t>s</w:t>
      </w:r>
      <w:r w:rsidR="00F2676C">
        <w:rPr>
          <w:rFonts w:hint="eastAsia"/>
          <w:lang w:eastAsia="zh-CN"/>
        </w:rPr>
        <w:t xml:space="preserve">. </w:t>
      </w:r>
      <w:r w:rsidR="003E4542">
        <w:rPr>
          <w:lang w:eastAsia="zh-CN"/>
        </w:rPr>
        <w:t>O</w:t>
      </w:r>
      <w:r w:rsidR="003E4542">
        <w:rPr>
          <w:rFonts w:hint="eastAsia"/>
          <w:lang w:eastAsia="zh-CN"/>
        </w:rPr>
        <w:t xml:space="preserve">n the other hand, the activation delay shall be reconsidered in such cases. </w:t>
      </w:r>
      <w:r w:rsidR="00F33638">
        <w:rPr>
          <w:lang w:eastAsia="zh-CN"/>
        </w:rPr>
        <w:t>F</w:t>
      </w:r>
      <w:r w:rsidR="00F33638">
        <w:rPr>
          <w:rFonts w:hint="eastAsia"/>
          <w:lang w:eastAsia="zh-CN"/>
        </w:rPr>
        <w:t xml:space="preserve">or simplicity, we think </w:t>
      </w:r>
      <w:r w:rsidR="004C5D8E">
        <w:rPr>
          <w:rFonts w:hint="eastAsia"/>
          <w:lang w:eastAsia="zh-CN"/>
        </w:rPr>
        <w:t xml:space="preserve">there is no need to consider the combined cases and only basic requirements for single case shall be defined. </w:t>
      </w:r>
    </w:p>
    <w:p w:rsidR="003C125B" w:rsidRPr="00215103" w:rsidRDefault="00062B74" w:rsidP="00215103">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6</w:t>
      </w:r>
      <w:r w:rsidRPr="001165D1">
        <w:rPr>
          <w:rFonts w:hint="eastAsia"/>
          <w:b/>
          <w:lang w:val="en-US"/>
        </w:rPr>
        <w:t xml:space="preserve">: </w:t>
      </w:r>
      <w:r w:rsidR="00882185">
        <w:rPr>
          <w:rFonts w:hint="eastAsia"/>
          <w:b/>
          <w:lang w:val="en-US" w:eastAsia="zh-CN"/>
        </w:rPr>
        <w:t xml:space="preserve">Do not consider </w:t>
      </w:r>
      <w:r w:rsidR="00C57BE7">
        <w:rPr>
          <w:rFonts w:hint="eastAsia"/>
          <w:b/>
          <w:lang w:val="en-US" w:eastAsia="zh-CN"/>
        </w:rPr>
        <w:t>the</w:t>
      </w:r>
      <w:r w:rsidR="00882185">
        <w:rPr>
          <w:rFonts w:hint="eastAsia"/>
          <w:b/>
          <w:lang w:val="en-US" w:eastAsia="zh-CN"/>
        </w:rPr>
        <w:t xml:space="preserve"> cases when multiple trigger events happened simultaneously</w:t>
      </w:r>
      <w:r w:rsidRPr="00821EA4">
        <w:rPr>
          <w:rFonts w:eastAsiaTheme="minorEastAsia"/>
          <w:b/>
        </w:rPr>
        <w:t>.</w:t>
      </w:r>
      <w:r w:rsidR="00F33638">
        <w:rPr>
          <w:rFonts w:eastAsiaTheme="minorEastAsia" w:hint="eastAsia"/>
          <w:b/>
          <w:lang w:eastAsia="zh-CN"/>
        </w:rPr>
        <w:t xml:space="preserve"> </w:t>
      </w:r>
    </w:p>
    <w:p w:rsidR="0081530F" w:rsidRDefault="0081530F" w:rsidP="0081530F">
      <w:pPr>
        <w:pStyle w:val="2"/>
        <w:rPr>
          <w:lang w:val="en-US" w:eastAsia="zh-CN"/>
        </w:rPr>
      </w:pPr>
      <w:r>
        <w:rPr>
          <w:rFonts w:hint="eastAsia"/>
          <w:lang w:val="en-US" w:eastAsia="zh-CN"/>
        </w:rPr>
        <w:lastRenderedPageBreak/>
        <w:t>2.</w:t>
      </w:r>
      <w:r w:rsidR="00520FA1">
        <w:rPr>
          <w:rFonts w:hint="eastAsia"/>
          <w:lang w:val="en-US" w:eastAsia="zh-CN"/>
        </w:rPr>
        <w:t>3</w:t>
      </w:r>
      <w:r>
        <w:rPr>
          <w:rFonts w:hint="eastAsia"/>
          <w:lang w:val="en-US" w:eastAsia="zh-CN"/>
        </w:rPr>
        <w:t xml:space="preserve"> </w:t>
      </w:r>
      <w:r w:rsidRPr="0081530F">
        <w:rPr>
          <w:lang w:val="en-US" w:eastAsia="zh-CN"/>
        </w:rPr>
        <w:t>RRM requirements</w:t>
      </w:r>
      <w:r w:rsidR="00CD1E72">
        <w:rPr>
          <w:rFonts w:hint="eastAsia"/>
          <w:lang w:val="en-US" w:eastAsia="zh-CN"/>
        </w:rPr>
        <w:t xml:space="preserve"> with pre-configured MGs</w:t>
      </w:r>
    </w:p>
    <w:tbl>
      <w:tblPr>
        <w:tblStyle w:val="af3"/>
        <w:tblW w:w="0" w:type="auto"/>
        <w:tblLook w:val="04A0" w:firstRow="1" w:lastRow="0" w:firstColumn="1" w:lastColumn="0" w:noHBand="0" w:noVBand="1"/>
      </w:tblPr>
      <w:tblGrid>
        <w:gridCol w:w="9857"/>
      </w:tblGrid>
      <w:tr w:rsidR="0081530F" w:rsidTr="0081530F">
        <w:tc>
          <w:tcPr>
            <w:tcW w:w="9857" w:type="dxa"/>
          </w:tcPr>
          <w:p w:rsidR="00215103" w:rsidRPr="00215103" w:rsidRDefault="00215103" w:rsidP="00215103">
            <w:pPr>
              <w:rPr>
                <w:rFonts w:eastAsiaTheme="minorEastAsia"/>
                <w:color w:val="0070C0"/>
              </w:rPr>
            </w:pPr>
            <w:r w:rsidRPr="00215103">
              <w:rPr>
                <w:rFonts w:eastAsiaTheme="minorEastAsia"/>
                <w:b/>
                <w:bCs/>
                <w:u w:val="single"/>
              </w:rPr>
              <w:t>Start point of Activation/Deactivation Delay</w:t>
            </w:r>
            <w:r w:rsidRPr="00215103">
              <w:rPr>
                <w:rFonts w:eastAsiaTheme="minorEastAsia" w:hint="eastAsia"/>
                <w:color w:val="0070C0"/>
              </w:rPr>
              <w:t xml:space="preserve"> </w:t>
            </w:r>
          </w:p>
          <w:p w:rsidR="00215103" w:rsidRPr="00215103" w:rsidRDefault="00215103" w:rsidP="00215103">
            <w:pPr>
              <w:rPr>
                <w:rFonts w:eastAsiaTheme="minorEastAsia"/>
                <w:b/>
                <w:bCs/>
              </w:rPr>
            </w:pPr>
            <w:r w:rsidRPr="00215103">
              <w:rPr>
                <w:rFonts w:eastAsiaTheme="minorEastAsia"/>
                <w:b/>
                <w:bCs/>
              </w:rPr>
              <w:t xml:space="preserve">FFS on: </w:t>
            </w:r>
          </w:p>
          <w:p w:rsidR="0081530F" w:rsidRPr="00215103" w:rsidRDefault="00215103" w:rsidP="00215103">
            <w:pPr>
              <w:numPr>
                <w:ilvl w:val="0"/>
                <w:numId w:val="6"/>
              </w:numPr>
              <w:overflowPunct w:val="0"/>
              <w:autoSpaceDE w:val="0"/>
              <w:autoSpaceDN w:val="0"/>
              <w:adjustRightInd w:val="0"/>
              <w:spacing w:line="259" w:lineRule="auto"/>
              <w:textAlignment w:val="baseline"/>
              <w:rPr>
                <w:b/>
                <w:bCs/>
              </w:rPr>
            </w:pPr>
            <w:r w:rsidRPr="00215103">
              <w:rPr>
                <w:b/>
                <w:bCs/>
              </w:rPr>
              <w:t xml:space="preserve">Option 1a: </w:t>
            </w:r>
            <w:r w:rsidRPr="00215103">
              <w:t>In case of pre-MG activation/deactivation triggered by events other than DCI-based/timer BWP switching, the starting time of the gap status changing delay is the slot that UE receives the network command which leads to gap status change.</w:t>
            </w:r>
            <w:r>
              <w:rPr>
                <w:rFonts w:hint="eastAsia"/>
                <w:lang w:eastAsia="zh-CN"/>
              </w:rPr>
              <w:t xml:space="preserve"> </w:t>
            </w:r>
          </w:p>
        </w:tc>
      </w:tr>
    </w:tbl>
    <w:p w:rsidR="00EA00D8" w:rsidRDefault="00EA00D8" w:rsidP="00F017D3">
      <w:pPr>
        <w:spacing w:beforeLines="50" w:before="120"/>
        <w:rPr>
          <w:lang w:val="en-US" w:eastAsia="zh-CN"/>
        </w:rPr>
      </w:pPr>
      <w:r>
        <w:rPr>
          <w:lang w:val="en-US" w:eastAsia="zh-CN"/>
        </w:rPr>
        <w:t>F</w:t>
      </w:r>
      <w:r>
        <w:rPr>
          <w:rFonts w:hint="eastAsia"/>
          <w:lang w:val="en-US" w:eastAsia="zh-CN"/>
        </w:rPr>
        <w:t>or the Pre-MG activation/deactivation delay requirements for the DCI/timer based switching case, it was agreed that the starting point is when UE receive</w:t>
      </w:r>
      <w:r w:rsidR="0057683E">
        <w:rPr>
          <w:rFonts w:hint="eastAsia"/>
          <w:lang w:val="en-US" w:eastAsia="zh-CN"/>
        </w:rPr>
        <w:t>s</w:t>
      </w:r>
      <w:r>
        <w:rPr>
          <w:rFonts w:hint="eastAsia"/>
          <w:lang w:val="en-US" w:eastAsia="zh-CN"/>
        </w:rPr>
        <w:t xml:space="preserve"> the BWP switching command. </w:t>
      </w:r>
      <w:r w:rsidR="0057683E">
        <w:rPr>
          <w:lang w:val="en-US" w:eastAsia="zh-CN"/>
        </w:rPr>
        <w:t>F</w:t>
      </w:r>
      <w:r w:rsidR="0057683E">
        <w:rPr>
          <w:rFonts w:hint="eastAsia"/>
          <w:lang w:val="en-US" w:eastAsia="zh-CN"/>
        </w:rPr>
        <w:t xml:space="preserve">or other cases, we think the same approach can be used i.e. the Pre-MG activation/deactivation delay starts from the slot when UE receives the network command. </w:t>
      </w:r>
      <w:r w:rsidR="00AB345F">
        <w:rPr>
          <w:lang w:val="en-US" w:eastAsia="zh-CN"/>
        </w:rPr>
        <w:t>B</w:t>
      </w:r>
      <w:r w:rsidR="00AB345F">
        <w:rPr>
          <w:rFonts w:hint="eastAsia"/>
          <w:lang w:val="en-US" w:eastAsia="zh-CN"/>
        </w:rPr>
        <w:t xml:space="preserve">esides, we think the starting point for timer based BWP switching should be updated to the slot where the timer expires since there is no network command for this case. </w:t>
      </w:r>
    </w:p>
    <w:p w:rsidR="008E12C0" w:rsidRDefault="008E12C0" w:rsidP="008E12C0">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7</w:t>
      </w:r>
      <w:r w:rsidRPr="001165D1">
        <w:rPr>
          <w:rFonts w:hint="eastAsia"/>
          <w:b/>
          <w:lang w:val="en-US"/>
        </w:rPr>
        <w:t xml:space="preserve">: </w:t>
      </w:r>
      <w:r w:rsidR="000608C9">
        <w:rPr>
          <w:rFonts w:hint="eastAsia"/>
          <w:b/>
          <w:lang w:val="en-US" w:eastAsia="zh-CN"/>
        </w:rPr>
        <w:t>For timer based BWP switching</w:t>
      </w:r>
      <w:r w:rsidR="000608C9">
        <w:rPr>
          <w:rFonts w:eastAsiaTheme="minorEastAsia" w:hint="eastAsia"/>
          <w:b/>
          <w:lang w:eastAsia="zh-CN"/>
        </w:rPr>
        <w:t>,</w:t>
      </w:r>
      <w:r>
        <w:rPr>
          <w:rFonts w:eastAsiaTheme="minorEastAsia" w:hint="eastAsia"/>
          <w:b/>
          <w:lang w:eastAsia="zh-CN"/>
        </w:rPr>
        <w:t xml:space="preserve"> </w:t>
      </w:r>
      <w:r w:rsidR="000608C9">
        <w:rPr>
          <w:rFonts w:eastAsiaTheme="minorEastAsia" w:hint="eastAsia"/>
          <w:b/>
          <w:lang w:eastAsia="zh-CN"/>
        </w:rPr>
        <w:t xml:space="preserve">the </w:t>
      </w:r>
      <w:r w:rsidR="000608C9" w:rsidRPr="000608C9">
        <w:rPr>
          <w:rFonts w:eastAsiaTheme="minorEastAsia"/>
          <w:b/>
          <w:lang w:eastAsia="zh-CN"/>
        </w:rPr>
        <w:t>pre-MG activation/deactivation</w:t>
      </w:r>
      <w:r w:rsidR="000608C9">
        <w:rPr>
          <w:rFonts w:eastAsiaTheme="minorEastAsia" w:hint="eastAsia"/>
          <w:b/>
          <w:lang w:eastAsia="zh-CN"/>
        </w:rPr>
        <w:t xml:space="preserve"> delay </w:t>
      </w:r>
      <w:r w:rsidR="00BB77B2">
        <w:rPr>
          <w:rFonts w:eastAsiaTheme="minorEastAsia" w:hint="eastAsia"/>
          <w:b/>
          <w:lang w:eastAsia="zh-CN"/>
        </w:rPr>
        <w:t xml:space="preserve">starts </w:t>
      </w:r>
      <w:r w:rsidR="000608C9">
        <w:rPr>
          <w:rFonts w:eastAsiaTheme="minorEastAsia" w:hint="eastAsia"/>
          <w:b/>
          <w:lang w:eastAsia="zh-CN"/>
        </w:rPr>
        <w:t xml:space="preserve">from </w:t>
      </w:r>
      <w:r w:rsidR="000608C9" w:rsidRPr="000608C9">
        <w:rPr>
          <w:rFonts w:eastAsiaTheme="minorEastAsia"/>
          <w:b/>
          <w:lang w:eastAsia="zh-CN"/>
        </w:rPr>
        <w:t>the first slot of a DL subframe (FR1) or DL half-subframe (FR2) immediately after a BWP-inactivity timer bwp-InactivityTimer</w:t>
      </w:r>
      <w:r w:rsidR="00CE3081">
        <w:rPr>
          <w:rFonts w:eastAsiaTheme="minorEastAsia" w:hint="eastAsia"/>
          <w:b/>
          <w:lang w:eastAsia="zh-CN"/>
        </w:rPr>
        <w:t xml:space="preserve"> </w:t>
      </w:r>
      <w:r w:rsidR="000608C9" w:rsidRPr="000608C9">
        <w:rPr>
          <w:rFonts w:eastAsiaTheme="minorEastAsia"/>
          <w:b/>
          <w:lang w:eastAsia="zh-CN"/>
        </w:rPr>
        <w:t>expires on a serving cell</w:t>
      </w:r>
      <w:r w:rsidR="00CE3081">
        <w:rPr>
          <w:rFonts w:eastAsiaTheme="minorEastAsia" w:hint="eastAsia"/>
          <w:b/>
          <w:lang w:eastAsia="zh-CN"/>
        </w:rPr>
        <w:t xml:space="preserve">. </w:t>
      </w:r>
    </w:p>
    <w:p w:rsidR="00BB77B2" w:rsidRDefault="00BB77B2" w:rsidP="00BB77B2">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8</w:t>
      </w:r>
      <w:r w:rsidRPr="001165D1">
        <w:rPr>
          <w:rFonts w:hint="eastAsia"/>
          <w:b/>
          <w:lang w:val="en-US"/>
        </w:rPr>
        <w:t xml:space="preserve">: </w:t>
      </w:r>
      <w:r>
        <w:rPr>
          <w:rFonts w:hint="eastAsia"/>
          <w:b/>
          <w:lang w:val="en-US" w:eastAsia="zh-CN"/>
        </w:rPr>
        <w:t>For the events other than DCI/timer based BWP switching</w:t>
      </w:r>
      <w:r>
        <w:rPr>
          <w:rFonts w:eastAsiaTheme="minorEastAsia" w:hint="eastAsia"/>
          <w:b/>
          <w:lang w:eastAsia="zh-CN"/>
        </w:rPr>
        <w:t xml:space="preserve">, the </w:t>
      </w:r>
      <w:r w:rsidRPr="000608C9">
        <w:rPr>
          <w:rFonts w:eastAsiaTheme="minorEastAsia"/>
          <w:b/>
          <w:lang w:eastAsia="zh-CN"/>
        </w:rPr>
        <w:t>pre-MG activation/deactivation</w:t>
      </w:r>
      <w:r>
        <w:rPr>
          <w:rFonts w:eastAsiaTheme="minorEastAsia" w:hint="eastAsia"/>
          <w:b/>
          <w:lang w:eastAsia="zh-CN"/>
        </w:rPr>
        <w:t xml:space="preserve"> delay </w:t>
      </w:r>
      <w:r w:rsidR="00B9315D">
        <w:rPr>
          <w:rFonts w:eastAsiaTheme="minorEastAsia" w:hint="eastAsia"/>
          <w:b/>
          <w:lang w:eastAsia="zh-CN"/>
        </w:rPr>
        <w:t xml:space="preserve">starts </w:t>
      </w:r>
      <w:r>
        <w:rPr>
          <w:rFonts w:eastAsiaTheme="minorEastAsia" w:hint="eastAsia"/>
          <w:b/>
          <w:lang w:eastAsia="zh-CN"/>
        </w:rPr>
        <w:t xml:space="preserve">from </w:t>
      </w:r>
      <w:r w:rsidRPr="000608C9">
        <w:rPr>
          <w:rFonts w:eastAsiaTheme="minorEastAsia"/>
          <w:b/>
          <w:lang w:eastAsia="zh-CN"/>
        </w:rPr>
        <w:t xml:space="preserve">the slot </w:t>
      </w:r>
      <w:r w:rsidR="00F3702A">
        <w:rPr>
          <w:rFonts w:eastAsiaTheme="minorEastAsia" w:hint="eastAsia"/>
          <w:b/>
          <w:lang w:eastAsia="zh-CN"/>
        </w:rPr>
        <w:t xml:space="preserve">where UE receives the network command </w:t>
      </w:r>
      <w:r w:rsidR="00F3702A">
        <w:rPr>
          <w:rFonts w:eastAsiaTheme="minorEastAsia"/>
          <w:b/>
          <w:lang w:eastAsia="zh-CN"/>
        </w:rPr>
        <w:t>triggering</w:t>
      </w:r>
      <w:r w:rsidR="00F3702A">
        <w:rPr>
          <w:rFonts w:eastAsiaTheme="minorEastAsia" w:hint="eastAsia"/>
          <w:b/>
          <w:lang w:eastAsia="zh-CN"/>
        </w:rPr>
        <w:t xml:space="preserve"> the event</w:t>
      </w:r>
      <w:r>
        <w:rPr>
          <w:rFonts w:eastAsiaTheme="minorEastAsia" w:hint="eastAsia"/>
          <w:b/>
          <w:lang w:eastAsia="zh-CN"/>
        </w:rPr>
        <w:t xml:space="preserve">. </w:t>
      </w:r>
    </w:p>
    <w:tbl>
      <w:tblPr>
        <w:tblStyle w:val="af3"/>
        <w:tblW w:w="0" w:type="auto"/>
        <w:tblLook w:val="04A0" w:firstRow="1" w:lastRow="0" w:firstColumn="1" w:lastColumn="0" w:noHBand="0" w:noVBand="1"/>
      </w:tblPr>
      <w:tblGrid>
        <w:gridCol w:w="9857"/>
      </w:tblGrid>
      <w:tr w:rsidR="00251C57" w:rsidTr="00251C57">
        <w:tc>
          <w:tcPr>
            <w:tcW w:w="9857" w:type="dxa"/>
          </w:tcPr>
          <w:p w:rsidR="00251C57" w:rsidRPr="00251C57" w:rsidRDefault="00251C57" w:rsidP="00251C57">
            <w:pPr>
              <w:rPr>
                <w:rFonts w:eastAsiaTheme="minorEastAsia"/>
                <w:b/>
                <w:bCs/>
                <w:u w:val="single"/>
              </w:rPr>
            </w:pPr>
            <w:r w:rsidRPr="00251C57">
              <w:rPr>
                <w:rFonts w:eastAsiaTheme="minorEastAsia"/>
                <w:b/>
                <w:bCs/>
                <w:u w:val="single"/>
              </w:rPr>
              <w:t>Activation/deactivation delay under CA:</w:t>
            </w:r>
          </w:p>
          <w:p w:rsidR="00251C57" w:rsidRPr="00251C57" w:rsidRDefault="00251C57" w:rsidP="00251C57">
            <w:pPr>
              <w:rPr>
                <w:rFonts w:eastAsiaTheme="minorEastAsia"/>
                <w:b/>
                <w:bCs/>
              </w:rPr>
            </w:pPr>
            <w:r w:rsidRPr="00251C57">
              <w:rPr>
                <w:rFonts w:eastAsiaTheme="minorEastAsia"/>
                <w:b/>
                <w:bCs/>
              </w:rPr>
              <w:t>FFS on:</w:t>
            </w:r>
          </w:p>
          <w:p w:rsidR="00251C57" w:rsidRPr="00251C57" w:rsidRDefault="00251C57" w:rsidP="008E12C0">
            <w:pPr>
              <w:numPr>
                <w:ilvl w:val="0"/>
                <w:numId w:val="6"/>
              </w:numPr>
              <w:overflowPunct w:val="0"/>
              <w:autoSpaceDE w:val="0"/>
              <w:autoSpaceDN w:val="0"/>
              <w:adjustRightInd w:val="0"/>
              <w:spacing w:line="259" w:lineRule="auto"/>
              <w:textAlignment w:val="baseline"/>
              <w:rPr>
                <w:b/>
                <w:bCs/>
              </w:rPr>
            </w:pPr>
            <w:r w:rsidRPr="00251C57">
              <w:rPr>
                <w:b/>
                <w:bCs/>
              </w:rPr>
              <w:t>The Pre-MG activation/deactivation delay for CA with single CC based BWP switching shall be the same as for non-CA with single CC.</w:t>
            </w:r>
          </w:p>
        </w:tc>
      </w:tr>
    </w:tbl>
    <w:p w:rsidR="00BB77B2" w:rsidRPr="00795B11" w:rsidRDefault="00795B11" w:rsidP="00F1605B">
      <w:pPr>
        <w:overflowPunct w:val="0"/>
        <w:autoSpaceDE w:val="0"/>
        <w:autoSpaceDN w:val="0"/>
        <w:adjustRightInd w:val="0"/>
        <w:spacing w:beforeLines="50" w:before="120"/>
        <w:textAlignment w:val="baseline"/>
        <w:rPr>
          <w:rFonts w:eastAsiaTheme="minorEastAsia"/>
          <w:lang w:eastAsia="zh-CN"/>
        </w:rPr>
      </w:pPr>
      <w:r w:rsidRPr="00795B11">
        <w:rPr>
          <w:rFonts w:eastAsiaTheme="minorEastAsia"/>
          <w:lang w:eastAsia="zh-CN"/>
        </w:rPr>
        <w:t>F</w:t>
      </w:r>
      <w:r w:rsidRPr="00795B11">
        <w:rPr>
          <w:rFonts w:eastAsiaTheme="minorEastAsia" w:hint="eastAsia"/>
          <w:lang w:eastAsia="zh-CN"/>
        </w:rPr>
        <w:t>or CA case, since it was agreed that only the BWP switch</w:t>
      </w:r>
      <w:r w:rsidR="004D2B36">
        <w:rPr>
          <w:rFonts w:eastAsiaTheme="minorEastAsia" w:hint="eastAsia"/>
          <w:lang w:eastAsia="zh-CN"/>
        </w:rPr>
        <w:t xml:space="preserve">ing on single CC is considered, </w:t>
      </w:r>
      <w:r w:rsidRPr="00795B11">
        <w:rPr>
          <w:rFonts w:eastAsiaTheme="minorEastAsia" w:hint="eastAsia"/>
          <w:lang w:eastAsia="zh-CN"/>
        </w:rPr>
        <w:t>we think the activation</w:t>
      </w:r>
      <w:r w:rsidR="000B4CE9">
        <w:rPr>
          <w:rFonts w:eastAsiaTheme="minorEastAsia" w:hint="eastAsia"/>
          <w:lang w:eastAsia="zh-CN"/>
        </w:rPr>
        <w:t>/deactivation</w:t>
      </w:r>
      <w:r w:rsidRPr="00795B11">
        <w:rPr>
          <w:rFonts w:eastAsiaTheme="minorEastAsia" w:hint="eastAsia"/>
          <w:lang w:eastAsia="zh-CN"/>
        </w:rPr>
        <w:t xml:space="preserve"> delay should be same as the single CC case. </w:t>
      </w:r>
    </w:p>
    <w:p w:rsidR="000B22EE" w:rsidRDefault="000B22EE" w:rsidP="000B22EE">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9</w:t>
      </w:r>
      <w:r w:rsidRPr="001165D1">
        <w:rPr>
          <w:rFonts w:hint="eastAsia"/>
          <w:b/>
          <w:lang w:val="en-US"/>
        </w:rPr>
        <w:t xml:space="preserve">: </w:t>
      </w:r>
      <w:r w:rsidRPr="000B22EE">
        <w:rPr>
          <w:b/>
          <w:lang w:val="en-US" w:eastAsia="zh-CN"/>
        </w:rPr>
        <w:t xml:space="preserve">The Pre-MG activation/deactivation delay for CA with single CC based BWP switching shall be the same as </w:t>
      </w:r>
      <w:r w:rsidR="00DE7663">
        <w:rPr>
          <w:rFonts w:hint="eastAsia"/>
          <w:b/>
          <w:lang w:val="en-US" w:eastAsia="zh-CN"/>
        </w:rPr>
        <w:t xml:space="preserve">that for </w:t>
      </w:r>
      <w:r w:rsidRPr="000B22EE">
        <w:rPr>
          <w:b/>
          <w:lang w:val="en-US" w:eastAsia="zh-CN"/>
        </w:rPr>
        <w:t>non-CA</w:t>
      </w:r>
      <w:r w:rsidR="00361670">
        <w:rPr>
          <w:rFonts w:hint="eastAsia"/>
          <w:b/>
          <w:lang w:val="en-US" w:eastAsia="zh-CN"/>
        </w:rPr>
        <w:t xml:space="preserve"> case</w:t>
      </w:r>
      <w:r>
        <w:rPr>
          <w:rFonts w:eastAsiaTheme="minorEastAsia" w:hint="eastAsia"/>
          <w:b/>
          <w:lang w:eastAsia="zh-CN"/>
        </w:rPr>
        <w:t xml:space="preserve">. </w:t>
      </w:r>
    </w:p>
    <w:tbl>
      <w:tblPr>
        <w:tblStyle w:val="af3"/>
        <w:tblW w:w="0" w:type="auto"/>
        <w:tblLook w:val="04A0" w:firstRow="1" w:lastRow="0" w:firstColumn="1" w:lastColumn="0" w:noHBand="0" w:noVBand="1"/>
      </w:tblPr>
      <w:tblGrid>
        <w:gridCol w:w="9857"/>
      </w:tblGrid>
      <w:tr w:rsidR="00BA78EB" w:rsidTr="00BA78EB">
        <w:tc>
          <w:tcPr>
            <w:tcW w:w="9857" w:type="dxa"/>
          </w:tcPr>
          <w:p w:rsidR="00BA78EB" w:rsidRPr="006B7928" w:rsidRDefault="00BA78EB" w:rsidP="006B7928">
            <w:pPr>
              <w:spacing w:afterLines="50" w:after="120"/>
              <w:rPr>
                <w:rFonts w:eastAsiaTheme="minorEastAsia"/>
                <w:b/>
                <w:bCs/>
                <w:u w:val="single"/>
              </w:rPr>
            </w:pPr>
            <w:r w:rsidRPr="006B7928">
              <w:rPr>
                <w:rFonts w:eastAsiaTheme="minorEastAsia"/>
                <w:b/>
                <w:bCs/>
                <w:u w:val="single"/>
              </w:rPr>
              <w:t xml:space="preserve">UE behavior when pre-MG status changed when UE performing measurement with pre-MG: </w:t>
            </w:r>
          </w:p>
          <w:p w:rsidR="00BA78EB" w:rsidRPr="006B7928" w:rsidRDefault="00BA78EB" w:rsidP="006B7928">
            <w:pPr>
              <w:spacing w:afterLines="50" w:after="120"/>
              <w:rPr>
                <w:rFonts w:eastAsiaTheme="minorEastAsia"/>
                <w:b/>
                <w:bCs/>
              </w:rPr>
            </w:pPr>
            <w:r w:rsidRPr="006B7928">
              <w:rPr>
                <w:rFonts w:eastAsiaTheme="minorEastAsia"/>
                <w:b/>
                <w:bCs/>
              </w:rPr>
              <w:t>FFS on:</w:t>
            </w:r>
          </w:p>
          <w:p w:rsidR="00BA78EB" w:rsidRPr="006B7928" w:rsidRDefault="00BA78EB" w:rsidP="006B7928">
            <w:pPr>
              <w:pStyle w:val="af8"/>
              <w:widowControl/>
              <w:numPr>
                <w:ilvl w:val="0"/>
                <w:numId w:val="6"/>
              </w:numPr>
              <w:overflowPunct w:val="0"/>
              <w:autoSpaceDE w:val="0"/>
              <w:autoSpaceDN w:val="0"/>
              <w:adjustRightInd w:val="0"/>
              <w:spacing w:before="0" w:afterLines="50" w:after="120" w:line="240" w:lineRule="auto"/>
              <w:ind w:firstLineChars="0"/>
              <w:jc w:val="left"/>
              <w:textAlignment w:val="baseline"/>
              <w:rPr>
                <w:rFonts w:eastAsiaTheme="minorEastAsia"/>
                <w:sz w:val="20"/>
                <w:szCs w:val="20"/>
                <w:lang w:val="en-US"/>
              </w:rPr>
            </w:pPr>
            <w:r w:rsidRPr="006B7928">
              <w:rPr>
                <w:rFonts w:eastAsiaTheme="minorEastAsia"/>
                <w:sz w:val="20"/>
                <w:szCs w:val="20"/>
                <w:lang w:val="en-US"/>
              </w:rPr>
              <w:t xml:space="preserve">Option 1 </w:t>
            </w:r>
          </w:p>
          <w:p w:rsidR="00BA78EB" w:rsidRPr="006B7928" w:rsidRDefault="00BA78EB" w:rsidP="006B7928">
            <w:pPr>
              <w:pStyle w:val="af8"/>
              <w:widowControl/>
              <w:numPr>
                <w:ilvl w:val="1"/>
                <w:numId w:val="6"/>
              </w:numPr>
              <w:overflowPunct w:val="0"/>
              <w:autoSpaceDE w:val="0"/>
              <w:autoSpaceDN w:val="0"/>
              <w:adjustRightInd w:val="0"/>
              <w:spacing w:before="0" w:afterLines="50" w:after="120" w:line="240" w:lineRule="auto"/>
              <w:ind w:firstLineChars="0"/>
              <w:jc w:val="left"/>
              <w:textAlignment w:val="baseline"/>
              <w:rPr>
                <w:rFonts w:ascii="Calibri" w:hAnsi="Calibri" w:cs="Calibri"/>
                <w:b/>
                <w:sz w:val="20"/>
                <w:szCs w:val="20"/>
              </w:rPr>
            </w:pPr>
            <w:r w:rsidRPr="006B7928">
              <w:rPr>
                <w:rFonts w:ascii="Calibri" w:hAnsi="Calibri" w:cs="Calibri"/>
                <w:b/>
                <w:sz w:val="20"/>
                <w:szCs w:val="20"/>
              </w:rPr>
              <w:fldChar w:fldCharType="begin"/>
            </w:r>
            <w:r w:rsidRPr="006B7928">
              <w:rPr>
                <w:rFonts w:ascii="Calibri" w:hAnsi="Calibri" w:cs="Calibri"/>
                <w:b/>
                <w:sz w:val="20"/>
                <w:szCs w:val="20"/>
              </w:rPr>
              <w:instrText xml:space="preserve"> REF _Ref71194622 \h  \* MERGEFORMAT </w:instrText>
            </w:r>
            <w:r w:rsidRPr="006B7928">
              <w:rPr>
                <w:rFonts w:ascii="Calibri" w:hAnsi="Calibri" w:cs="Calibri"/>
                <w:b/>
                <w:sz w:val="20"/>
                <w:szCs w:val="20"/>
              </w:rPr>
            </w:r>
            <w:r w:rsidRPr="006B7928">
              <w:rPr>
                <w:rFonts w:ascii="Calibri" w:hAnsi="Calibri" w:cs="Calibri"/>
                <w:b/>
                <w:sz w:val="20"/>
                <w:szCs w:val="20"/>
              </w:rPr>
              <w:fldChar w:fldCharType="separate"/>
            </w:r>
            <w:r w:rsidRPr="006B7928">
              <w:rPr>
                <w:rFonts w:eastAsiaTheme="minorEastAsia"/>
                <w:sz w:val="20"/>
                <w:szCs w:val="20"/>
                <w:lang w:val="en-US"/>
              </w:rPr>
              <w:t xml:space="preserve">UE re-starts a new measurement period once the pre-MG status changes. </w:t>
            </w:r>
            <w:r w:rsidRPr="006B7928">
              <w:rPr>
                <w:rFonts w:ascii="Calibri" w:hAnsi="Calibri" w:cs="Calibri"/>
                <w:sz w:val="20"/>
                <w:szCs w:val="20"/>
              </w:rPr>
              <w:t>.</w:t>
            </w:r>
            <w:r w:rsidRPr="006B7928">
              <w:rPr>
                <w:rFonts w:ascii="Calibri" w:hAnsi="Calibri" w:cs="Calibri"/>
                <w:b/>
                <w:sz w:val="20"/>
                <w:szCs w:val="20"/>
              </w:rPr>
              <w:fldChar w:fldCharType="end"/>
            </w:r>
          </w:p>
          <w:p w:rsidR="00BA78EB" w:rsidRPr="006B7928" w:rsidRDefault="00BA78EB" w:rsidP="006B7928">
            <w:pPr>
              <w:pStyle w:val="af8"/>
              <w:widowControl/>
              <w:numPr>
                <w:ilvl w:val="0"/>
                <w:numId w:val="15"/>
              </w:numPr>
              <w:overflowPunct w:val="0"/>
              <w:autoSpaceDE w:val="0"/>
              <w:autoSpaceDN w:val="0"/>
              <w:adjustRightInd w:val="0"/>
              <w:spacing w:before="0" w:afterLines="50" w:after="120" w:line="240" w:lineRule="auto"/>
              <w:ind w:firstLineChars="0"/>
              <w:jc w:val="left"/>
              <w:textAlignment w:val="baseline"/>
              <w:rPr>
                <w:rFonts w:eastAsiaTheme="minorEastAsia"/>
                <w:sz w:val="20"/>
                <w:szCs w:val="20"/>
              </w:rPr>
            </w:pPr>
            <w:r w:rsidRPr="006B7928">
              <w:rPr>
                <w:sz w:val="20"/>
                <w:szCs w:val="20"/>
              </w:rPr>
              <w:t xml:space="preserve">Option 2: </w:t>
            </w:r>
          </w:p>
          <w:p w:rsidR="00BA78EB" w:rsidRPr="006B7928" w:rsidRDefault="00BA78EB" w:rsidP="006B7928">
            <w:pPr>
              <w:pStyle w:val="af8"/>
              <w:widowControl/>
              <w:numPr>
                <w:ilvl w:val="1"/>
                <w:numId w:val="15"/>
              </w:numPr>
              <w:overflowPunct w:val="0"/>
              <w:autoSpaceDE w:val="0"/>
              <w:autoSpaceDN w:val="0"/>
              <w:adjustRightInd w:val="0"/>
              <w:spacing w:before="0" w:afterLines="50" w:after="120" w:line="240" w:lineRule="auto"/>
              <w:ind w:firstLineChars="0"/>
              <w:jc w:val="left"/>
              <w:textAlignment w:val="baseline"/>
              <w:rPr>
                <w:rFonts w:eastAsiaTheme="minorEastAsia"/>
                <w:sz w:val="20"/>
                <w:szCs w:val="20"/>
              </w:rPr>
            </w:pPr>
            <w:r w:rsidRPr="006B7928">
              <w:rPr>
                <w:bCs/>
                <w:sz w:val="20"/>
                <w:szCs w:val="20"/>
              </w:rPr>
              <w:t>continue the ongoing measurement when pre-MG status changed</w:t>
            </w:r>
            <w:r w:rsidRPr="006B7928">
              <w:rPr>
                <w:b/>
                <w:sz w:val="20"/>
                <w:szCs w:val="20"/>
              </w:rPr>
              <w:t>.</w:t>
            </w:r>
          </w:p>
          <w:p w:rsidR="00BA78EB" w:rsidRPr="006B7928" w:rsidRDefault="00BA78EB" w:rsidP="006B7928">
            <w:pPr>
              <w:pStyle w:val="af8"/>
              <w:widowControl/>
              <w:numPr>
                <w:ilvl w:val="0"/>
                <w:numId w:val="15"/>
              </w:numPr>
              <w:overflowPunct w:val="0"/>
              <w:autoSpaceDE w:val="0"/>
              <w:autoSpaceDN w:val="0"/>
              <w:adjustRightInd w:val="0"/>
              <w:spacing w:before="0" w:afterLines="50" w:after="120" w:line="240" w:lineRule="auto"/>
              <w:ind w:firstLineChars="0"/>
              <w:jc w:val="left"/>
              <w:textAlignment w:val="baseline"/>
              <w:rPr>
                <w:rFonts w:eastAsiaTheme="minorEastAsia"/>
                <w:sz w:val="20"/>
                <w:szCs w:val="20"/>
              </w:rPr>
            </w:pPr>
            <w:r w:rsidRPr="006B7928">
              <w:rPr>
                <w:sz w:val="20"/>
                <w:szCs w:val="20"/>
              </w:rPr>
              <w:t xml:space="preserve">Option 3: </w:t>
            </w:r>
          </w:p>
          <w:p w:rsidR="00BA78EB" w:rsidRPr="00BA78EB" w:rsidRDefault="00BA78EB" w:rsidP="006B7928">
            <w:pPr>
              <w:pStyle w:val="af8"/>
              <w:widowControl/>
              <w:numPr>
                <w:ilvl w:val="1"/>
                <w:numId w:val="15"/>
              </w:numPr>
              <w:overflowPunct w:val="0"/>
              <w:autoSpaceDE w:val="0"/>
              <w:autoSpaceDN w:val="0"/>
              <w:adjustRightInd w:val="0"/>
              <w:spacing w:before="0" w:afterLines="50" w:after="120" w:line="240" w:lineRule="auto"/>
              <w:ind w:firstLineChars="0"/>
              <w:jc w:val="left"/>
              <w:textAlignment w:val="baseline"/>
              <w:rPr>
                <w:rFonts w:eastAsiaTheme="minorEastAsia"/>
                <w:lang w:val="en-US"/>
              </w:rPr>
            </w:pPr>
            <w:r w:rsidRPr="006B7928">
              <w:rPr>
                <w:rFonts w:eastAsiaTheme="minorEastAsia"/>
                <w:sz w:val="20"/>
                <w:szCs w:val="20"/>
                <w:lang w:val="en-US"/>
              </w:rPr>
              <w:t>For measurements that can only be performed within MG, e.g. NR positioning measurements and CSI-RS inter-frequency measurements, requirements would not apply if the pre-configured gap is deactivated during the measurement period.</w:t>
            </w:r>
          </w:p>
        </w:tc>
      </w:tr>
    </w:tbl>
    <w:p w:rsidR="00EA00D8" w:rsidRDefault="00950102" w:rsidP="00F017D3">
      <w:pPr>
        <w:spacing w:beforeLines="50" w:before="120"/>
        <w:rPr>
          <w:lang w:eastAsia="zh-CN"/>
        </w:rPr>
      </w:pPr>
      <w:r>
        <w:rPr>
          <w:lang w:eastAsia="zh-CN"/>
        </w:rPr>
        <w:t>F</w:t>
      </w:r>
      <w:r>
        <w:rPr>
          <w:rFonts w:hint="eastAsia"/>
          <w:lang w:eastAsia="zh-CN"/>
        </w:rPr>
        <w:t xml:space="preserve">or the UE </w:t>
      </w:r>
      <w:r>
        <w:rPr>
          <w:lang w:eastAsia="zh-CN"/>
        </w:rPr>
        <w:t>behaviour</w:t>
      </w:r>
      <w:r w:rsidR="00520E4B">
        <w:rPr>
          <w:rFonts w:hint="eastAsia"/>
          <w:lang w:eastAsia="zh-CN"/>
        </w:rPr>
        <w:t xml:space="preserve"> when pre-MG status changes during measurement period</w:t>
      </w:r>
      <w:r w:rsidR="00476A1D">
        <w:rPr>
          <w:rFonts w:hint="eastAsia"/>
          <w:lang w:eastAsia="zh-CN"/>
        </w:rPr>
        <w:t xml:space="preserve">, we think UE can continue the on-going </w:t>
      </w:r>
      <w:r w:rsidR="00E432E7">
        <w:rPr>
          <w:rFonts w:hint="eastAsia"/>
          <w:lang w:eastAsia="zh-CN"/>
        </w:rPr>
        <w:t>measurement since</w:t>
      </w:r>
      <w:r w:rsidR="00D564F1">
        <w:rPr>
          <w:rFonts w:hint="eastAsia"/>
          <w:lang w:eastAsia="zh-CN"/>
        </w:rPr>
        <w:t xml:space="preserve"> the pre-MG status is </w:t>
      </w:r>
      <w:r w:rsidR="004A5A01">
        <w:rPr>
          <w:rFonts w:hint="eastAsia"/>
          <w:lang w:eastAsia="zh-CN"/>
        </w:rPr>
        <w:t xml:space="preserve">still </w:t>
      </w:r>
      <w:r w:rsidR="00D564F1">
        <w:rPr>
          <w:rFonts w:hint="eastAsia"/>
          <w:lang w:eastAsia="zh-CN"/>
        </w:rPr>
        <w:t xml:space="preserve">suitable for </w:t>
      </w:r>
      <w:r w:rsidR="00E432E7">
        <w:rPr>
          <w:rFonts w:hint="eastAsia"/>
          <w:lang w:eastAsia="zh-CN"/>
        </w:rPr>
        <w:t>the measurement purpose</w:t>
      </w:r>
      <w:r w:rsidR="004A5A01">
        <w:rPr>
          <w:rFonts w:hint="eastAsia"/>
          <w:lang w:eastAsia="zh-CN"/>
        </w:rPr>
        <w:t xml:space="preserve"> after the status change</w:t>
      </w:r>
      <w:r w:rsidR="00E432E7">
        <w:rPr>
          <w:rFonts w:hint="eastAsia"/>
          <w:lang w:eastAsia="zh-CN"/>
        </w:rPr>
        <w:t xml:space="preserve">. </w:t>
      </w:r>
      <w:r w:rsidR="00183FEA">
        <w:rPr>
          <w:lang w:eastAsia="zh-CN"/>
        </w:rPr>
        <w:t>A</w:t>
      </w:r>
      <w:r w:rsidR="00183FEA">
        <w:rPr>
          <w:rFonts w:hint="eastAsia"/>
          <w:lang w:eastAsia="zh-CN"/>
        </w:rPr>
        <w:t xml:space="preserve">nd if UE frequently restart the measurement due to pre-MG status change, the measurement period will be too long. </w:t>
      </w:r>
      <w:r w:rsidR="008A6B55">
        <w:rPr>
          <w:lang w:eastAsia="zh-CN"/>
        </w:rPr>
        <w:t>O</w:t>
      </w:r>
      <w:r w:rsidR="008A6B55">
        <w:rPr>
          <w:rFonts w:hint="eastAsia"/>
          <w:lang w:eastAsia="zh-CN"/>
        </w:rPr>
        <w:t xml:space="preserve">ption 3 is generally right, but we are not sure what </w:t>
      </w:r>
      <w:r w:rsidR="008A6B55">
        <w:rPr>
          <w:lang w:eastAsia="zh-CN"/>
        </w:rPr>
        <w:t>the scenario is</w:t>
      </w:r>
      <w:r w:rsidR="008A6B55">
        <w:rPr>
          <w:rFonts w:hint="eastAsia"/>
          <w:lang w:eastAsia="zh-CN"/>
        </w:rPr>
        <w:t xml:space="preserve">. </w:t>
      </w:r>
      <w:r w:rsidR="001E456A">
        <w:rPr>
          <w:lang w:eastAsia="zh-CN"/>
        </w:rPr>
        <w:t>I</w:t>
      </w:r>
      <w:r w:rsidR="001E456A">
        <w:rPr>
          <w:rFonts w:hint="eastAsia"/>
          <w:lang w:eastAsia="zh-CN"/>
        </w:rPr>
        <w:t xml:space="preserve">n our understanding, the status change during measurement period is based on the activation/deactivation rules defined in this item, </w:t>
      </w:r>
      <w:r w:rsidR="0054417E">
        <w:rPr>
          <w:rFonts w:hint="eastAsia"/>
          <w:lang w:eastAsia="zh-CN"/>
        </w:rPr>
        <w:t>so</w:t>
      </w:r>
      <w:r w:rsidR="001E456A">
        <w:rPr>
          <w:rFonts w:hint="eastAsia"/>
          <w:lang w:eastAsia="zh-CN"/>
        </w:rPr>
        <w:t xml:space="preserve"> what is the case when there is positioning/inter-frequency CSI-RS measurement while the Pre-configured MG is deactivated. </w:t>
      </w:r>
    </w:p>
    <w:p w:rsidR="00FE1ABD" w:rsidRDefault="00FE1ABD" w:rsidP="00FE1ABD">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10</w:t>
      </w:r>
      <w:r w:rsidRPr="001165D1">
        <w:rPr>
          <w:rFonts w:hint="eastAsia"/>
          <w:b/>
          <w:lang w:val="en-US"/>
        </w:rPr>
        <w:t xml:space="preserve">: </w:t>
      </w:r>
      <w:r w:rsidR="00841413">
        <w:rPr>
          <w:rFonts w:hint="eastAsia"/>
          <w:b/>
          <w:lang w:val="en-US" w:eastAsia="zh-CN"/>
        </w:rPr>
        <w:t xml:space="preserve">UE shall continue the on-going measurement </w:t>
      </w:r>
      <w:r w:rsidR="00841413" w:rsidRPr="00841413">
        <w:rPr>
          <w:b/>
          <w:lang w:val="en-US" w:eastAsia="zh-CN"/>
        </w:rPr>
        <w:t xml:space="preserve">when </w:t>
      </w:r>
      <w:r w:rsidR="00841413">
        <w:rPr>
          <w:rFonts w:hint="eastAsia"/>
          <w:b/>
          <w:lang w:val="en-US" w:eastAsia="zh-CN"/>
        </w:rPr>
        <w:t>there is pre-MG status change during measurement period</w:t>
      </w:r>
      <w:r>
        <w:rPr>
          <w:rFonts w:eastAsiaTheme="minorEastAsia" w:hint="eastAsia"/>
          <w:b/>
          <w:lang w:eastAsia="zh-CN"/>
        </w:rPr>
        <w:t xml:space="preserve">. </w:t>
      </w:r>
    </w:p>
    <w:tbl>
      <w:tblPr>
        <w:tblStyle w:val="af3"/>
        <w:tblW w:w="0" w:type="auto"/>
        <w:tblLook w:val="04A0" w:firstRow="1" w:lastRow="0" w:firstColumn="1" w:lastColumn="0" w:noHBand="0" w:noVBand="1"/>
      </w:tblPr>
      <w:tblGrid>
        <w:gridCol w:w="9857"/>
      </w:tblGrid>
      <w:tr w:rsidR="006A797C" w:rsidTr="006A797C">
        <w:tc>
          <w:tcPr>
            <w:tcW w:w="9857" w:type="dxa"/>
          </w:tcPr>
          <w:p w:rsidR="006A797C" w:rsidRDefault="006A797C" w:rsidP="006A797C">
            <w:pPr>
              <w:rPr>
                <w:rFonts w:eastAsiaTheme="minorEastAsia"/>
                <w:color w:val="0070C0"/>
              </w:rPr>
            </w:pPr>
            <w:r w:rsidRPr="00CC4A97">
              <w:rPr>
                <w:rFonts w:eastAsiaTheme="minorEastAsia"/>
                <w:b/>
                <w:bCs/>
                <w:sz w:val="22"/>
                <w:szCs w:val="16"/>
                <w:u w:val="single"/>
              </w:rPr>
              <w:lastRenderedPageBreak/>
              <w:t>General principle to define the requirements of measurement period with pre-MG measurements</w:t>
            </w:r>
            <w:r w:rsidRPr="00CC4A97">
              <w:rPr>
                <w:rFonts w:eastAsiaTheme="minorEastAsia"/>
                <w:color w:val="0070C0"/>
              </w:rPr>
              <w:t>:</w:t>
            </w:r>
          </w:p>
          <w:p w:rsidR="006A797C" w:rsidRPr="00B078AE" w:rsidRDefault="006A797C" w:rsidP="006A797C">
            <w:pPr>
              <w:rPr>
                <w:rFonts w:eastAsiaTheme="minorEastAsia"/>
                <w:b/>
                <w:bCs/>
              </w:rPr>
            </w:pPr>
            <w:r w:rsidRPr="00B078AE">
              <w:rPr>
                <w:rFonts w:eastAsiaTheme="minorEastAsia"/>
                <w:b/>
                <w:bCs/>
              </w:rPr>
              <w:t>FFS</w:t>
            </w:r>
            <w:r>
              <w:rPr>
                <w:rFonts w:eastAsiaTheme="minorEastAsia"/>
                <w:b/>
                <w:bCs/>
              </w:rPr>
              <w:t xml:space="preserve"> on:</w:t>
            </w:r>
          </w:p>
          <w:p w:rsidR="006A797C" w:rsidRPr="00CC4A97" w:rsidRDefault="006A797C" w:rsidP="006A797C">
            <w:pPr>
              <w:pStyle w:val="af8"/>
              <w:widowControl/>
              <w:numPr>
                <w:ilvl w:val="0"/>
                <w:numId w:val="6"/>
              </w:numPr>
              <w:overflowPunct w:val="0"/>
              <w:autoSpaceDE w:val="0"/>
              <w:autoSpaceDN w:val="0"/>
              <w:adjustRightInd w:val="0"/>
              <w:spacing w:before="0" w:after="180" w:line="259" w:lineRule="auto"/>
              <w:ind w:firstLineChars="0"/>
              <w:jc w:val="left"/>
              <w:textAlignment w:val="baseline"/>
              <w:rPr>
                <w:rFonts w:eastAsiaTheme="minorEastAsia"/>
                <w:lang w:val="en-US"/>
              </w:rPr>
            </w:pPr>
            <w:r w:rsidRPr="00CC4A97">
              <w:rPr>
                <w:rFonts w:eastAsiaTheme="minorEastAsia"/>
                <w:lang w:val="en-US"/>
              </w:rPr>
              <w:t>Option 1aDefine the more general requirements for the case in which UE can perform the measurements within “N” activated pre-MG and “M” deactivated pre-MG (N+M&lt;total number of measurement required by a successful measurement report (e.g. 5)) .</w:t>
            </w:r>
          </w:p>
          <w:p w:rsidR="006A797C" w:rsidRPr="00CC4A97" w:rsidRDefault="006A797C" w:rsidP="006A797C">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eastAsiaTheme="minorEastAsia"/>
                <w:lang w:val="en-US"/>
              </w:rPr>
            </w:pPr>
            <w:r w:rsidRPr="00CC4A97">
              <w:rPr>
                <w:rFonts w:eastAsiaTheme="minorEastAsia"/>
                <w:lang w:val="en-US"/>
              </w:rPr>
              <w:t>If there is any pre-MG status transition, the additional time shall be included</w:t>
            </w:r>
          </w:p>
          <w:p w:rsidR="006A797C" w:rsidRPr="00CC4A97" w:rsidRDefault="006A797C" w:rsidP="006A797C">
            <w:pPr>
              <w:pStyle w:val="af8"/>
              <w:widowControl/>
              <w:numPr>
                <w:ilvl w:val="0"/>
                <w:numId w:val="6"/>
              </w:numPr>
              <w:overflowPunct w:val="0"/>
              <w:autoSpaceDE w:val="0"/>
              <w:autoSpaceDN w:val="0"/>
              <w:adjustRightInd w:val="0"/>
              <w:spacing w:before="0" w:after="180" w:line="259" w:lineRule="auto"/>
              <w:ind w:firstLineChars="0"/>
              <w:jc w:val="left"/>
              <w:textAlignment w:val="baseline"/>
              <w:rPr>
                <w:sz w:val="18"/>
                <w:szCs w:val="18"/>
              </w:rPr>
            </w:pPr>
            <w:r w:rsidRPr="00CC4A97">
              <w:rPr>
                <w:rFonts w:eastAsiaTheme="minorEastAsia"/>
                <w:lang w:val="en-US"/>
              </w:rPr>
              <w:t xml:space="preserve">Option 1b( Ericsson,ZTE, CATT) </w:t>
            </w:r>
            <w:r w:rsidRPr="00CC4A97">
              <w:rPr>
                <w:sz w:val="18"/>
                <w:szCs w:val="18"/>
              </w:rPr>
              <w:t>: Total measurement period (T</w:t>
            </w:r>
            <w:r w:rsidRPr="00CC4A97">
              <w:rPr>
                <w:sz w:val="18"/>
                <w:szCs w:val="18"/>
                <w:vertAlign w:val="subscript"/>
              </w:rPr>
              <w:t>measure, total</w:t>
            </w:r>
            <w:r w:rsidRPr="00CC4A97">
              <w:rPr>
                <w:sz w:val="18"/>
                <w:szCs w:val="18"/>
              </w:rPr>
              <w:t>) can be expressed in terms of basic measurement period (T</w:t>
            </w:r>
            <w:r w:rsidRPr="00CC4A97">
              <w:rPr>
                <w:sz w:val="18"/>
                <w:szCs w:val="18"/>
                <w:vertAlign w:val="subscript"/>
              </w:rPr>
              <w:t>measure, basic</w:t>
            </w:r>
            <w:r w:rsidRPr="00CC4A97">
              <w:rPr>
                <w:sz w:val="18"/>
                <w:szCs w:val="18"/>
              </w:rPr>
              <w:t xml:space="preserve">) and aggregated time consumed due to total number of Pre-MG </w:t>
            </w:r>
            <w:r w:rsidRPr="00CC4A97">
              <w:rPr>
                <w:sz w:val="18"/>
                <w:szCs w:val="18"/>
                <w:lang w:val="en-US"/>
              </w:rPr>
              <w:t>status changes</w:t>
            </w:r>
            <w:r w:rsidRPr="00CC4A97">
              <w:rPr>
                <w:sz w:val="18"/>
                <w:szCs w:val="18"/>
              </w:rPr>
              <w:t xml:space="preserve"> (K*T</w:t>
            </w:r>
            <w:r w:rsidRPr="00CC4A97">
              <w:rPr>
                <w:sz w:val="18"/>
                <w:szCs w:val="18"/>
                <w:vertAlign w:val="subscript"/>
              </w:rPr>
              <w:t>status_change</w:t>
            </w:r>
            <w:r w:rsidRPr="00CC4A97">
              <w:rPr>
                <w:sz w:val="18"/>
                <w:szCs w:val="18"/>
              </w:rPr>
              <w:t>) during the ongoing measurement:</w:t>
            </w:r>
          </w:p>
          <w:p w:rsidR="006A797C" w:rsidRPr="00CC4A97" w:rsidRDefault="006A797C" w:rsidP="006A797C">
            <w:pPr>
              <w:pStyle w:val="af0"/>
              <w:numPr>
                <w:ilvl w:val="0"/>
                <w:numId w:val="16"/>
              </w:numPr>
              <w:overflowPunct w:val="0"/>
              <w:autoSpaceDE w:val="0"/>
              <w:autoSpaceDN w:val="0"/>
              <w:adjustRightInd w:val="0"/>
              <w:spacing w:before="60" w:after="0"/>
              <w:ind w:hanging="357"/>
              <w:textAlignment w:val="baseline"/>
              <w:rPr>
                <w:sz w:val="18"/>
                <w:szCs w:val="18"/>
              </w:rPr>
            </w:pPr>
            <w:r w:rsidRPr="00CC4A97">
              <w:rPr>
                <w:sz w:val="18"/>
                <w:szCs w:val="18"/>
              </w:rPr>
              <w:t>T</w:t>
            </w:r>
            <w:r w:rsidRPr="00CC4A97">
              <w:rPr>
                <w:sz w:val="18"/>
                <w:szCs w:val="18"/>
                <w:vertAlign w:val="subscript"/>
              </w:rPr>
              <w:t>measure, total</w:t>
            </w:r>
            <w:r w:rsidRPr="00CC4A97">
              <w:rPr>
                <w:sz w:val="18"/>
                <w:szCs w:val="18"/>
              </w:rPr>
              <w:t xml:space="preserve"> = T</w:t>
            </w:r>
            <w:r w:rsidRPr="00CC4A97">
              <w:rPr>
                <w:sz w:val="18"/>
                <w:szCs w:val="18"/>
                <w:vertAlign w:val="subscript"/>
              </w:rPr>
              <w:t>measure, basic</w:t>
            </w:r>
            <w:r w:rsidRPr="00CC4A97">
              <w:rPr>
                <w:sz w:val="18"/>
                <w:szCs w:val="18"/>
              </w:rPr>
              <w:t>+ N* T</w:t>
            </w:r>
            <w:r w:rsidRPr="00CC4A97">
              <w:rPr>
                <w:sz w:val="18"/>
                <w:szCs w:val="18"/>
                <w:vertAlign w:val="subscript"/>
              </w:rPr>
              <w:t>status_change</w:t>
            </w:r>
          </w:p>
          <w:p w:rsidR="006A797C" w:rsidRPr="00CC4A97" w:rsidRDefault="006A797C" w:rsidP="006A797C">
            <w:pPr>
              <w:pStyle w:val="af0"/>
              <w:numPr>
                <w:ilvl w:val="0"/>
                <w:numId w:val="16"/>
              </w:numPr>
              <w:overflowPunct w:val="0"/>
              <w:autoSpaceDE w:val="0"/>
              <w:autoSpaceDN w:val="0"/>
              <w:adjustRightInd w:val="0"/>
              <w:spacing w:before="60" w:after="0"/>
              <w:ind w:hanging="357"/>
              <w:textAlignment w:val="baseline"/>
              <w:rPr>
                <w:sz w:val="18"/>
                <w:szCs w:val="18"/>
              </w:rPr>
            </w:pPr>
            <w:r w:rsidRPr="00CC4A97">
              <w:rPr>
                <w:sz w:val="18"/>
                <w:szCs w:val="18"/>
              </w:rPr>
              <w:t>Where</w:t>
            </w:r>
          </w:p>
          <w:p w:rsidR="006A797C" w:rsidRPr="00CC4A97" w:rsidRDefault="006A797C" w:rsidP="006A797C">
            <w:pPr>
              <w:pStyle w:val="af0"/>
              <w:numPr>
                <w:ilvl w:val="2"/>
                <w:numId w:val="6"/>
              </w:numPr>
              <w:overflowPunct w:val="0"/>
              <w:autoSpaceDE w:val="0"/>
              <w:autoSpaceDN w:val="0"/>
              <w:adjustRightInd w:val="0"/>
              <w:spacing w:before="60" w:after="0"/>
              <w:textAlignment w:val="baseline"/>
              <w:rPr>
                <w:rFonts w:eastAsiaTheme="minorEastAsia"/>
                <w:lang w:val="en-US" w:eastAsia="zh-CN"/>
              </w:rPr>
            </w:pPr>
            <w:r w:rsidRPr="00CC4A97">
              <w:rPr>
                <w:sz w:val="18"/>
                <w:szCs w:val="18"/>
              </w:rPr>
              <w:t xml:space="preserve">K=total number of Pre-MG </w:t>
            </w:r>
            <w:r w:rsidRPr="00CC4A97">
              <w:rPr>
                <w:sz w:val="18"/>
                <w:szCs w:val="18"/>
                <w:lang w:val="en-US"/>
              </w:rPr>
              <w:t>status changes</w:t>
            </w:r>
            <w:r w:rsidRPr="00CC4A97">
              <w:rPr>
                <w:sz w:val="18"/>
                <w:szCs w:val="18"/>
              </w:rPr>
              <w:t xml:space="preserve"> during the measurement period</w:t>
            </w:r>
            <w:r w:rsidRPr="00CC4A97">
              <w:rPr>
                <w:rFonts w:eastAsiaTheme="minorEastAsia"/>
                <w:lang w:val="en-US" w:eastAsia="zh-CN"/>
              </w:rPr>
              <w:t>.</w:t>
            </w:r>
          </w:p>
          <w:p w:rsidR="006A797C" w:rsidRPr="00CC4A97" w:rsidRDefault="006A797C" w:rsidP="006A797C">
            <w:pPr>
              <w:pStyle w:val="af0"/>
              <w:numPr>
                <w:ilvl w:val="2"/>
                <w:numId w:val="6"/>
              </w:numPr>
              <w:overflowPunct w:val="0"/>
              <w:autoSpaceDE w:val="0"/>
              <w:autoSpaceDN w:val="0"/>
              <w:adjustRightInd w:val="0"/>
              <w:spacing w:before="240" w:after="0"/>
              <w:textAlignment w:val="baseline"/>
              <w:rPr>
                <w:sz w:val="18"/>
                <w:szCs w:val="18"/>
                <w:lang w:eastAsia="zh-CN"/>
              </w:rPr>
            </w:pPr>
            <w:r w:rsidRPr="00CC4A97">
              <w:rPr>
                <w:sz w:val="18"/>
                <w:szCs w:val="18"/>
              </w:rPr>
              <w:t>T</w:t>
            </w:r>
            <w:r w:rsidRPr="00CC4A97">
              <w:rPr>
                <w:sz w:val="18"/>
                <w:szCs w:val="18"/>
                <w:vertAlign w:val="subscript"/>
              </w:rPr>
              <w:t>measure, basic</w:t>
            </w:r>
            <w:r w:rsidRPr="00CC4A97">
              <w:rPr>
                <w:sz w:val="18"/>
                <w:szCs w:val="18"/>
                <w:lang w:val="en-US"/>
              </w:rPr>
              <w:t xml:space="preserve"> </w:t>
            </w:r>
            <w:r w:rsidRPr="00CC4A97">
              <w:rPr>
                <w:sz w:val="18"/>
                <w:szCs w:val="18"/>
              </w:rPr>
              <w:t>= MAX(</w:t>
            </w:r>
            <w:r w:rsidRPr="00CC4A97">
              <w:rPr>
                <w:sz w:val="18"/>
                <w:szCs w:val="18"/>
                <w:lang w:val="en-US"/>
              </w:rPr>
              <w:t>T</w:t>
            </w:r>
            <w:r w:rsidRPr="00CC4A97">
              <w:rPr>
                <w:sz w:val="18"/>
                <w:szCs w:val="18"/>
                <w:vertAlign w:val="subscript"/>
                <w:lang w:val="en-US"/>
              </w:rPr>
              <w:t>measure,BWP</w:t>
            </w:r>
            <w:r w:rsidRPr="00CC4A97">
              <w:rPr>
                <w:sz w:val="18"/>
                <w:szCs w:val="18"/>
              </w:rPr>
              <w:t xml:space="preserve">, </w:t>
            </w:r>
            <w:r w:rsidRPr="00CC4A97">
              <w:rPr>
                <w:sz w:val="18"/>
                <w:szCs w:val="18"/>
                <w:lang w:val="en-US"/>
              </w:rPr>
              <w:t>T</w:t>
            </w:r>
            <w:r w:rsidRPr="00CC4A97">
              <w:rPr>
                <w:sz w:val="18"/>
                <w:szCs w:val="18"/>
                <w:vertAlign w:val="subscript"/>
                <w:lang w:val="en-US"/>
              </w:rPr>
              <w:t>measure,MG</w:t>
            </w:r>
            <w:r w:rsidRPr="00CC4A97">
              <w:rPr>
                <w:sz w:val="18"/>
                <w:szCs w:val="18"/>
              </w:rPr>
              <w:t>)</w:t>
            </w:r>
            <w:r w:rsidRPr="00CC4A97">
              <w:rPr>
                <w:sz w:val="18"/>
                <w:szCs w:val="18"/>
                <w:lang w:eastAsia="zh-CN"/>
              </w:rPr>
              <w:t>; where:</w:t>
            </w:r>
          </w:p>
          <w:p w:rsidR="006A797C" w:rsidRPr="00CC4A97" w:rsidRDefault="006A797C" w:rsidP="006A797C">
            <w:pPr>
              <w:pStyle w:val="af0"/>
              <w:numPr>
                <w:ilvl w:val="3"/>
                <w:numId w:val="6"/>
              </w:numPr>
              <w:overflowPunct w:val="0"/>
              <w:autoSpaceDE w:val="0"/>
              <w:autoSpaceDN w:val="0"/>
              <w:adjustRightInd w:val="0"/>
              <w:spacing w:before="60" w:after="0"/>
              <w:textAlignment w:val="baseline"/>
              <w:rPr>
                <w:sz w:val="18"/>
                <w:szCs w:val="18"/>
                <w:lang w:eastAsia="zh-CN"/>
              </w:rPr>
            </w:pPr>
            <w:r w:rsidRPr="00CC4A97">
              <w:rPr>
                <w:sz w:val="18"/>
                <w:szCs w:val="18"/>
                <w:lang w:val="en-US"/>
              </w:rPr>
              <w:t>T</w:t>
            </w:r>
            <w:r w:rsidRPr="00CC4A97">
              <w:rPr>
                <w:sz w:val="18"/>
                <w:szCs w:val="18"/>
                <w:vertAlign w:val="subscript"/>
                <w:lang w:val="en-US"/>
              </w:rPr>
              <w:t>measure,BWP</w:t>
            </w:r>
            <w:r w:rsidRPr="00CC4A97">
              <w:rPr>
                <w:sz w:val="18"/>
                <w:szCs w:val="18"/>
                <w:lang w:val="en-US"/>
              </w:rPr>
              <w:t>=It is measurement period when the measurement is fully performed without measurement gap</w:t>
            </w:r>
          </w:p>
          <w:p w:rsidR="006A797C" w:rsidRPr="00CC4A97" w:rsidRDefault="006A797C" w:rsidP="006A797C">
            <w:pPr>
              <w:pStyle w:val="af0"/>
              <w:numPr>
                <w:ilvl w:val="3"/>
                <w:numId w:val="6"/>
              </w:numPr>
              <w:overflowPunct w:val="0"/>
              <w:autoSpaceDE w:val="0"/>
              <w:autoSpaceDN w:val="0"/>
              <w:adjustRightInd w:val="0"/>
              <w:spacing w:before="120" w:after="0"/>
              <w:textAlignment w:val="baseline"/>
              <w:rPr>
                <w:sz w:val="18"/>
                <w:szCs w:val="18"/>
                <w:lang w:eastAsia="zh-CN"/>
              </w:rPr>
            </w:pPr>
            <w:r w:rsidRPr="00CC4A97">
              <w:rPr>
                <w:sz w:val="18"/>
                <w:szCs w:val="18"/>
                <w:lang w:val="en-US"/>
              </w:rPr>
              <w:t>T</w:t>
            </w:r>
            <w:r w:rsidRPr="00CC4A97">
              <w:rPr>
                <w:sz w:val="18"/>
                <w:szCs w:val="18"/>
                <w:vertAlign w:val="subscript"/>
                <w:lang w:val="en-US"/>
              </w:rPr>
              <w:t>measure,MG</w:t>
            </w:r>
            <w:r w:rsidRPr="00CC4A97">
              <w:rPr>
                <w:sz w:val="18"/>
                <w:szCs w:val="18"/>
                <w:lang w:val="en-US"/>
              </w:rPr>
              <w:t xml:space="preserve"> =It is measurement period when the measurement is fully performed with measurement gap.</w:t>
            </w:r>
          </w:p>
          <w:p w:rsidR="006A797C" w:rsidRPr="00CC4A97" w:rsidRDefault="006A797C" w:rsidP="006A797C">
            <w:pPr>
              <w:rPr>
                <w:rFonts w:eastAsiaTheme="minorEastAsia"/>
              </w:rPr>
            </w:pPr>
          </w:p>
          <w:p w:rsidR="006A797C" w:rsidRPr="00CC4A97" w:rsidRDefault="006A797C" w:rsidP="006A797C">
            <w:pPr>
              <w:pStyle w:val="af8"/>
              <w:widowControl/>
              <w:numPr>
                <w:ilvl w:val="0"/>
                <w:numId w:val="6"/>
              </w:numPr>
              <w:overflowPunct w:val="0"/>
              <w:autoSpaceDE w:val="0"/>
              <w:autoSpaceDN w:val="0"/>
              <w:adjustRightInd w:val="0"/>
              <w:spacing w:before="0" w:after="180" w:line="259" w:lineRule="auto"/>
              <w:ind w:firstLineChars="0"/>
              <w:jc w:val="left"/>
              <w:textAlignment w:val="baseline"/>
              <w:rPr>
                <w:rFonts w:eastAsiaTheme="minorEastAsia"/>
                <w:lang w:val="en-US"/>
              </w:rPr>
            </w:pPr>
            <w:r w:rsidRPr="00CC4A97">
              <w:rPr>
                <w:rFonts w:eastAsiaTheme="minorEastAsia"/>
                <w:lang w:val="en-US"/>
              </w:rPr>
              <w:t>Option 2: Define the measurement period requirements for the cases (with activativated pre-MG and deactivated pre-MG) separately.</w:t>
            </w:r>
          </w:p>
          <w:p w:rsidR="006A797C" w:rsidRPr="00CC4A97" w:rsidRDefault="006A797C" w:rsidP="006A797C">
            <w:pPr>
              <w:pStyle w:val="af8"/>
              <w:widowControl/>
              <w:numPr>
                <w:ilvl w:val="1"/>
                <w:numId w:val="6"/>
              </w:numPr>
              <w:spacing w:beforeLines="50" w:before="120" w:afterLines="50" w:after="120" w:line="240" w:lineRule="auto"/>
              <w:ind w:firstLineChars="0"/>
              <w:jc w:val="left"/>
              <w:rPr>
                <w:rFonts w:eastAsiaTheme="minorEastAsia"/>
                <w:bCs/>
              </w:rPr>
            </w:pPr>
            <w:r w:rsidRPr="00CC4A97">
              <w:rPr>
                <w:rFonts w:eastAsiaTheme="minorEastAsia"/>
                <w:bCs/>
              </w:rPr>
              <w:t>if the pre-MG is activated, the measurement period should be same as existing requirements when legacy MG is configured</w:t>
            </w:r>
          </w:p>
          <w:p w:rsidR="006A797C" w:rsidRPr="00CC4A97" w:rsidRDefault="006A797C" w:rsidP="006A797C">
            <w:pPr>
              <w:pStyle w:val="af8"/>
              <w:widowControl/>
              <w:numPr>
                <w:ilvl w:val="1"/>
                <w:numId w:val="6"/>
              </w:numPr>
              <w:spacing w:beforeLines="50" w:before="120" w:afterLines="50" w:after="120" w:line="240" w:lineRule="auto"/>
              <w:ind w:firstLineChars="0"/>
              <w:jc w:val="left"/>
              <w:rPr>
                <w:rFonts w:eastAsiaTheme="minorEastAsia"/>
                <w:bCs/>
              </w:rPr>
            </w:pPr>
            <w:r w:rsidRPr="00CC4A97">
              <w:rPr>
                <w:rFonts w:eastAsiaTheme="minorEastAsia"/>
                <w:bCs/>
              </w:rPr>
              <w:t>if the pre-MG is deactivated, the measurement period should be same as existing requirements when legacy MG is not configured</w:t>
            </w:r>
          </w:p>
          <w:p w:rsidR="006A797C" w:rsidRPr="00CC4A97" w:rsidRDefault="006A797C" w:rsidP="006A797C">
            <w:pPr>
              <w:pStyle w:val="af8"/>
              <w:widowControl/>
              <w:numPr>
                <w:ilvl w:val="1"/>
                <w:numId w:val="6"/>
              </w:numPr>
              <w:spacing w:beforeLines="50" w:before="120" w:afterLines="50" w:after="120" w:line="240" w:lineRule="auto"/>
              <w:ind w:firstLineChars="0"/>
              <w:jc w:val="left"/>
              <w:rPr>
                <w:rFonts w:eastAsiaTheme="minorEastAsia"/>
                <w:bCs/>
              </w:rPr>
            </w:pPr>
            <w:r w:rsidRPr="00CC4A97">
              <w:rPr>
                <w:rFonts w:eastAsiaTheme="minorEastAsia"/>
                <w:bCs/>
              </w:rPr>
              <w:t xml:space="preserve">if the pre-MG status is changed during the measurement period, UE may re-start the measurement </w:t>
            </w:r>
          </w:p>
          <w:p w:rsidR="006A797C" w:rsidRDefault="006A797C" w:rsidP="006A797C">
            <w:pPr>
              <w:pStyle w:val="af8"/>
              <w:widowControl/>
              <w:numPr>
                <w:ilvl w:val="0"/>
                <w:numId w:val="6"/>
              </w:numPr>
              <w:overflowPunct w:val="0"/>
              <w:autoSpaceDE w:val="0"/>
              <w:autoSpaceDN w:val="0"/>
              <w:adjustRightInd w:val="0"/>
              <w:spacing w:before="0" w:after="180" w:line="259" w:lineRule="auto"/>
              <w:ind w:firstLineChars="0"/>
              <w:jc w:val="left"/>
              <w:textAlignment w:val="baseline"/>
            </w:pPr>
            <w:r w:rsidRPr="00CC4A97">
              <w:rPr>
                <w:rFonts w:eastAsiaTheme="minorEastAsia"/>
                <w:lang w:val="en-US"/>
              </w:rPr>
              <w:t>Option 3: RAN4 does not specify measurement period requirements for scenarios in which there are changes in the activation/deactivation status of the pre-configured MG during the measurement period.</w:t>
            </w:r>
          </w:p>
        </w:tc>
      </w:tr>
    </w:tbl>
    <w:p w:rsidR="005A68F8" w:rsidRDefault="00661C3C" w:rsidP="00F017D3">
      <w:pPr>
        <w:spacing w:beforeLines="50" w:before="120"/>
        <w:rPr>
          <w:lang w:val="en-US" w:eastAsia="zh-CN"/>
        </w:rPr>
      </w:pPr>
      <w:r>
        <w:rPr>
          <w:lang w:val="en-US" w:eastAsia="zh-CN"/>
        </w:rPr>
        <w:t>I</w:t>
      </w:r>
      <w:r>
        <w:rPr>
          <w:rFonts w:hint="eastAsia"/>
          <w:lang w:val="en-US" w:eastAsia="zh-CN"/>
        </w:rPr>
        <w:t>t was agreed that t</w:t>
      </w:r>
      <w:r w:rsidRPr="00661C3C">
        <w:rPr>
          <w:lang w:val="en-US" w:eastAsia="zh-CN"/>
        </w:rPr>
        <w:t>he measurement period requirements for pre-MG based measurements can be leveraged from the current requirements for gap/gapless measurement defined in TS38.133</w:t>
      </w:r>
      <w:r w:rsidR="00F17A2B">
        <w:rPr>
          <w:rFonts w:hint="eastAsia"/>
          <w:lang w:val="en-US" w:eastAsia="zh-CN"/>
        </w:rPr>
        <w:t xml:space="preserve">, i.e. when the pre-MG is activated, the measurement requirements can be the same as the requirements for measurement with gap, and when Pre-MG is deactivated, the measurement requirements are the same as </w:t>
      </w:r>
      <w:r w:rsidR="00455F29">
        <w:rPr>
          <w:lang w:val="en-US" w:eastAsia="zh-CN"/>
        </w:rPr>
        <w:t>that</w:t>
      </w:r>
      <w:r w:rsidR="00455F29">
        <w:rPr>
          <w:rFonts w:hint="eastAsia"/>
          <w:lang w:val="en-US" w:eastAsia="zh-CN"/>
        </w:rPr>
        <w:t xml:space="preserve"> for </w:t>
      </w:r>
      <w:r w:rsidR="00F17A2B">
        <w:rPr>
          <w:rFonts w:hint="eastAsia"/>
          <w:lang w:val="en-US" w:eastAsia="zh-CN"/>
        </w:rPr>
        <w:t xml:space="preserve">the measurement without gap. </w:t>
      </w:r>
    </w:p>
    <w:p w:rsidR="005F1CE4" w:rsidRDefault="002D0011" w:rsidP="00F017D3">
      <w:pPr>
        <w:spacing w:beforeLines="50" w:before="120"/>
        <w:rPr>
          <w:lang w:val="en-US" w:eastAsia="zh-CN"/>
        </w:rPr>
      </w:pPr>
      <w:r>
        <w:rPr>
          <w:rFonts w:hint="eastAsia"/>
          <w:lang w:val="en-US" w:eastAsia="zh-CN"/>
        </w:rPr>
        <w:t>But the requirements for the measurement when there is pre-MG status change during the measurement period need to be further studied.</w:t>
      </w:r>
      <w:r w:rsidR="00661C3C">
        <w:rPr>
          <w:rFonts w:hint="eastAsia"/>
          <w:lang w:val="en-US" w:eastAsia="zh-CN"/>
        </w:rPr>
        <w:t xml:space="preserve"> </w:t>
      </w:r>
      <w:r w:rsidR="005409E8">
        <w:rPr>
          <w:lang w:val="en-US" w:eastAsia="zh-CN"/>
        </w:rPr>
        <w:t>I</w:t>
      </w:r>
      <w:r w:rsidR="005409E8">
        <w:rPr>
          <w:rFonts w:hint="eastAsia"/>
          <w:lang w:val="en-US" w:eastAsia="zh-CN"/>
        </w:rPr>
        <w:t>n our understanding</w:t>
      </w:r>
      <w:r w:rsidR="00CA7EB9">
        <w:rPr>
          <w:rFonts w:hint="eastAsia"/>
          <w:lang w:val="en-US" w:eastAsia="zh-CN"/>
        </w:rPr>
        <w:t xml:space="preserve">, </w:t>
      </w:r>
      <w:r w:rsidR="005265AA">
        <w:rPr>
          <w:rFonts w:hint="eastAsia"/>
          <w:lang w:val="en-US" w:eastAsia="zh-CN"/>
        </w:rPr>
        <w:t>it is similar as the case when there are both gapless and gap-based measurement</w:t>
      </w:r>
      <w:r w:rsidR="00E9729D">
        <w:rPr>
          <w:rFonts w:hint="eastAsia"/>
          <w:lang w:val="en-US" w:eastAsia="zh-CN"/>
        </w:rPr>
        <w:t>s</w:t>
      </w:r>
      <w:r w:rsidR="005265AA">
        <w:rPr>
          <w:rFonts w:hint="eastAsia"/>
          <w:lang w:val="en-US" w:eastAsia="zh-CN"/>
        </w:rPr>
        <w:t xml:space="preserve"> during the measurement period. </w:t>
      </w:r>
      <w:r w:rsidR="006B1424">
        <w:rPr>
          <w:lang w:val="en-US" w:eastAsia="zh-CN"/>
        </w:rPr>
        <w:t>B</w:t>
      </w:r>
      <w:r w:rsidR="006B1424">
        <w:rPr>
          <w:rFonts w:hint="eastAsia"/>
          <w:lang w:val="en-US" w:eastAsia="zh-CN"/>
        </w:rPr>
        <w:t>ased on the UE behavior in proposal 10, i</w:t>
      </w:r>
      <w:r w:rsidR="000579FC">
        <w:rPr>
          <w:rFonts w:hint="eastAsia"/>
          <w:lang w:val="en-US" w:eastAsia="zh-CN"/>
        </w:rPr>
        <w:t xml:space="preserve">t is preferred to define </w:t>
      </w:r>
      <w:r w:rsidR="00011828">
        <w:rPr>
          <w:rFonts w:hint="eastAsia"/>
          <w:lang w:val="en-US" w:eastAsia="zh-CN"/>
        </w:rPr>
        <w:t xml:space="preserve">the </w:t>
      </w:r>
      <w:r w:rsidR="000579FC">
        <w:rPr>
          <w:rFonts w:hint="eastAsia"/>
          <w:lang w:val="en-US" w:eastAsia="zh-CN"/>
        </w:rPr>
        <w:t>requirements based on the number of resources within gap and without gap since the pre-configured MG approach reduced the transition time between the measu</w:t>
      </w:r>
      <w:r w:rsidR="00E06FC6">
        <w:rPr>
          <w:rFonts w:hint="eastAsia"/>
          <w:lang w:val="en-US" w:eastAsia="zh-CN"/>
        </w:rPr>
        <w:t>rement with gap and without gap</w:t>
      </w:r>
      <w:r w:rsidR="00045D62">
        <w:rPr>
          <w:rFonts w:hint="eastAsia"/>
          <w:lang w:val="en-US" w:eastAsia="zh-CN"/>
        </w:rPr>
        <w:t xml:space="preserve">. </w:t>
      </w:r>
    </w:p>
    <w:p w:rsidR="00927FA0" w:rsidRPr="001E1AD8" w:rsidRDefault="00A4501E" w:rsidP="00A4501E">
      <w:pPr>
        <w:spacing w:beforeLines="50" w:before="120"/>
        <w:rPr>
          <w:b/>
          <w:lang w:val="en-US" w:eastAsia="zh-CN"/>
        </w:rPr>
      </w:pPr>
      <w:r w:rsidRPr="00023D83">
        <w:rPr>
          <w:b/>
          <w:lang w:eastAsia="zh-CN"/>
        </w:rPr>
        <w:t>P</w:t>
      </w:r>
      <w:r w:rsidRPr="00023D83">
        <w:rPr>
          <w:rFonts w:hint="eastAsia"/>
          <w:b/>
          <w:lang w:eastAsia="zh-CN"/>
        </w:rPr>
        <w:t xml:space="preserve">roposal </w:t>
      </w:r>
      <w:r w:rsidR="00B95339">
        <w:rPr>
          <w:rFonts w:hint="eastAsia"/>
          <w:b/>
          <w:lang w:eastAsia="zh-CN"/>
        </w:rPr>
        <w:t>11</w:t>
      </w:r>
      <w:r w:rsidRPr="00023D83">
        <w:rPr>
          <w:rFonts w:hint="eastAsia"/>
          <w:b/>
          <w:lang w:eastAsia="zh-CN"/>
        </w:rPr>
        <w:t xml:space="preserve">: </w:t>
      </w:r>
      <w:r w:rsidR="00513761" w:rsidRPr="00023D83">
        <w:rPr>
          <w:rFonts w:hint="eastAsia"/>
          <w:b/>
          <w:lang w:eastAsia="zh-CN"/>
        </w:rPr>
        <w:t xml:space="preserve">The measurement requirements for the case that </w:t>
      </w:r>
      <w:r w:rsidR="00844C62" w:rsidRPr="00023D83">
        <w:rPr>
          <w:rFonts w:hint="eastAsia"/>
          <w:b/>
          <w:lang w:eastAsia="zh-CN"/>
        </w:rPr>
        <w:t>pre-MG status changed</w:t>
      </w:r>
      <w:r w:rsidR="00513761" w:rsidRPr="00023D83">
        <w:rPr>
          <w:rFonts w:hint="eastAsia"/>
          <w:b/>
          <w:lang w:eastAsia="zh-CN"/>
        </w:rPr>
        <w:t xml:space="preserve"> during the measurement period </w:t>
      </w:r>
      <w:r w:rsidR="005F4699" w:rsidRPr="00023D83">
        <w:rPr>
          <w:rFonts w:hint="eastAsia"/>
          <w:b/>
          <w:lang w:eastAsia="zh-CN"/>
        </w:rPr>
        <w:t>are</w:t>
      </w:r>
      <w:r w:rsidR="00C97B82" w:rsidRPr="00023D83">
        <w:rPr>
          <w:b/>
          <w:lang w:eastAsia="zh-CN"/>
        </w:rPr>
        <w:t xml:space="preserve"> based on the number of resources within gap and without gap</w:t>
      </w:r>
      <w:r w:rsidR="00136E8D" w:rsidRPr="00023D83">
        <w:rPr>
          <w:rFonts w:hint="eastAsia"/>
          <w:b/>
          <w:lang w:eastAsia="zh-CN"/>
        </w:rPr>
        <w:t xml:space="preserve"> respectively</w:t>
      </w:r>
      <w:r w:rsidR="0001374E" w:rsidRPr="00023D83">
        <w:rPr>
          <w:rFonts w:hint="eastAsia"/>
          <w:b/>
          <w:lang w:eastAsia="zh-CN"/>
        </w:rPr>
        <w:t xml:space="preserve"> i.e. </w:t>
      </w:r>
      <w:r w:rsidR="0001374E" w:rsidRPr="00023D83">
        <w:rPr>
          <w:b/>
          <w:szCs w:val="22"/>
        </w:rPr>
        <w:t>T</w:t>
      </w:r>
      <w:r w:rsidR="0001374E" w:rsidRPr="00023D83">
        <w:rPr>
          <w:b/>
          <w:szCs w:val="22"/>
          <w:vertAlign w:val="subscript"/>
        </w:rPr>
        <w:t>measure, total</w:t>
      </w:r>
      <w:r w:rsidR="0001374E" w:rsidRPr="00023D83">
        <w:rPr>
          <w:b/>
          <w:szCs w:val="22"/>
        </w:rPr>
        <w:t xml:space="preserve"> = </w:t>
      </w:r>
      <w:r w:rsidR="00C73805">
        <w:rPr>
          <w:rFonts w:hint="eastAsia"/>
          <w:b/>
          <w:szCs w:val="22"/>
          <w:lang w:eastAsia="zh-CN"/>
        </w:rPr>
        <w:t>M*</w:t>
      </w:r>
      <w:r w:rsidR="0001374E" w:rsidRPr="00023D83">
        <w:rPr>
          <w:b/>
          <w:szCs w:val="22"/>
        </w:rPr>
        <w:t>T</w:t>
      </w:r>
      <w:r w:rsidR="003A5891">
        <w:rPr>
          <w:b/>
          <w:szCs w:val="22"/>
          <w:vertAlign w:val="subscript"/>
        </w:rPr>
        <w:t>measure</w:t>
      </w:r>
      <w:r w:rsidR="003A5891">
        <w:rPr>
          <w:rFonts w:hint="eastAsia"/>
          <w:b/>
          <w:szCs w:val="22"/>
          <w:vertAlign w:val="subscript"/>
          <w:lang w:eastAsia="zh-CN"/>
        </w:rPr>
        <w:t>ment with gap</w:t>
      </w:r>
      <w:r w:rsidR="009A09DF" w:rsidRPr="00023D83">
        <w:rPr>
          <w:rFonts w:hint="eastAsia"/>
          <w:b/>
          <w:szCs w:val="22"/>
          <w:vertAlign w:val="subscript"/>
          <w:lang w:eastAsia="zh-CN"/>
        </w:rPr>
        <w:t xml:space="preserve"> </w:t>
      </w:r>
      <w:r w:rsidR="0001374E" w:rsidRPr="00023D83">
        <w:rPr>
          <w:b/>
          <w:szCs w:val="22"/>
        </w:rPr>
        <w:t xml:space="preserve">+ </w:t>
      </w:r>
      <w:r w:rsidR="00C73805">
        <w:rPr>
          <w:rFonts w:hint="eastAsia"/>
          <w:b/>
          <w:szCs w:val="22"/>
          <w:lang w:eastAsia="zh-CN"/>
        </w:rPr>
        <w:t>N*</w:t>
      </w:r>
      <w:r w:rsidR="009A09DF" w:rsidRPr="00023D83">
        <w:rPr>
          <w:b/>
          <w:szCs w:val="22"/>
        </w:rPr>
        <w:t>T</w:t>
      </w:r>
      <w:r w:rsidR="003A5891">
        <w:rPr>
          <w:b/>
          <w:szCs w:val="22"/>
          <w:vertAlign w:val="subscript"/>
        </w:rPr>
        <w:t>measure</w:t>
      </w:r>
      <w:r w:rsidR="003A5891">
        <w:rPr>
          <w:rFonts w:hint="eastAsia"/>
          <w:b/>
          <w:szCs w:val="22"/>
          <w:vertAlign w:val="subscript"/>
          <w:lang w:eastAsia="zh-CN"/>
        </w:rPr>
        <w:t xml:space="preserve">ment without gap </w:t>
      </w:r>
      <w:r w:rsidR="009A09DF" w:rsidRPr="00023D83">
        <w:rPr>
          <w:rFonts w:hint="eastAsia"/>
          <w:b/>
          <w:szCs w:val="22"/>
          <w:lang w:eastAsia="zh-CN"/>
        </w:rPr>
        <w:t xml:space="preserve">+ </w:t>
      </w:r>
      <w:r w:rsidR="00C73805">
        <w:rPr>
          <w:rFonts w:hint="eastAsia"/>
          <w:b/>
          <w:szCs w:val="22"/>
          <w:lang w:eastAsia="zh-CN"/>
        </w:rPr>
        <w:t>(M+</w:t>
      </w:r>
      <w:r w:rsidR="0001374E" w:rsidRPr="00023D83">
        <w:rPr>
          <w:b/>
          <w:szCs w:val="22"/>
        </w:rPr>
        <w:t>N</w:t>
      </w:r>
      <w:r w:rsidR="00C73805">
        <w:rPr>
          <w:rFonts w:hint="eastAsia"/>
          <w:b/>
          <w:szCs w:val="22"/>
          <w:lang w:eastAsia="zh-CN"/>
        </w:rPr>
        <w:t>)</w:t>
      </w:r>
      <w:r w:rsidR="0001374E" w:rsidRPr="00023D83">
        <w:rPr>
          <w:b/>
          <w:szCs w:val="22"/>
        </w:rPr>
        <w:t>* (</w:t>
      </w:r>
      <w:r w:rsidR="0001374E" w:rsidRPr="00023D83">
        <w:rPr>
          <w:rFonts w:eastAsia="+mn-ea"/>
          <w:b/>
          <w:kern w:val="24"/>
          <w:lang w:eastAsia="sv-SE"/>
        </w:rPr>
        <w:t>T</w:t>
      </w:r>
      <w:r w:rsidR="006A7EAC">
        <w:rPr>
          <w:rFonts w:eastAsiaTheme="minorEastAsia" w:hint="eastAsia"/>
          <w:b/>
          <w:kern w:val="24"/>
          <w:vertAlign w:val="subscript"/>
          <w:lang w:eastAsia="zh-CN"/>
        </w:rPr>
        <w:t xml:space="preserve">activation/deactivation </w:t>
      </w:r>
      <w:r w:rsidR="006A7EAC" w:rsidRPr="003A5891">
        <w:rPr>
          <w:rFonts w:hint="eastAsia"/>
          <w:b/>
          <w:sz w:val="22"/>
          <w:szCs w:val="22"/>
          <w:vertAlign w:val="subscript"/>
          <w:lang w:eastAsia="zh-CN"/>
        </w:rPr>
        <w:t>delay</w:t>
      </w:r>
      <w:r w:rsidR="0001374E" w:rsidRPr="00023D83">
        <w:rPr>
          <w:b/>
          <w:sz w:val="22"/>
          <w:szCs w:val="22"/>
        </w:rPr>
        <w:t>)</w:t>
      </w:r>
      <w:r w:rsidRPr="00023D83">
        <w:rPr>
          <w:rFonts w:hint="eastAsia"/>
          <w:b/>
          <w:lang w:val="en-US" w:eastAsia="zh-CN"/>
        </w:rPr>
        <w:t xml:space="preserve">. </w:t>
      </w:r>
      <w:r w:rsidR="003A5891">
        <w:rPr>
          <w:b/>
          <w:lang w:val="en-US" w:eastAsia="zh-CN"/>
        </w:rPr>
        <w:t>W</w:t>
      </w:r>
      <w:r w:rsidR="003A5891">
        <w:rPr>
          <w:rFonts w:hint="eastAsia"/>
          <w:b/>
          <w:lang w:val="en-US" w:eastAsia="zh-CN"/>
        </w:rPr>
        <w:t xml:space="preserve">here </w:t>
      </w:r>
      <w:r w:rsidR="000C4105">
        <w:rPr>
          <w:rFonts w:hint="eastAsia"/>
          <w:b/>
          <w:lang w:val="en-US" w:eastAsia="zh-CN"/>
        </w:rPr>
        <w:t xml:space="preserve">M is the number of samples measured with gap and N is the number of samples measured without gap. </w:t>
      </w:r>
    </w:p>
    <w:p w:rsidR="00D137A8" w:rsidRPr="00C52F00" w:rsidRDefault="00FD5946" w:rsidP="00A16D08">
      <w:pPr>
        <w:pStyle w:val="1"/>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8105E9">
      <w:pPr>
        <w:pStyle w:val="af0"/>
        <w:rPr>
          <w:lang w:val="en-US" w:eastAsia="zh-CN"/>
        </w:rPr>
      </w:pPr>
      <w:r w:rsidRPr="00D55E8E">
        <w:rPr>
          <w:rFonts w:hint="eastAsia"/>
          <w:lang w:val="en-US" w:eastAsia="zh-CN"/>
        </w:rPr>
        <w:t xml:space="preserve">In this paper, </w:t>
      </w:r>
      <w:r w:rsidR="001F4417">
        <w:rPr>
          <w:rFonts w:hint="eastAsia"/>
          <w:lang w:val="en-US" w:eastAsia="zh-CN"/>
        </w:rPr>
        <w:t xml:space="preserve">we </w:t>
      </w:r>
      <w:r w:rsidR="00927368">
        <w:rPr>
          <w:rFonts w:hint="eastAsia"/>
          <w:lang w:val="en-US" w:eastAsia="zh-CN"/>
        </w:rPr>
        <w:t>have</w:t>
      </w:r>
      <w:r w:rsidR="001F4417">
        <w:rPr>
          <w:rFonts w:hint="eastAsia"/>
          <w:lang w:val="en-US" w:eastAsia="zh-CN"/>
        </w:rPr>
        <w:t xml:space="preserve"> some </w:t>
      </w:r>
      <w:r w:rsidR="00E318B4">
        <w:rPr>
          <w:rFonts w:hint="eastAsia"/>
          <w:lang w:val="en-US" w:eastAsia="zh-CN"/>
        </w:rPr>
        <w:t xml:space="preserve">further </w:t>
      </w:r>
      <w:r w:rsidR="001F4417">
        <w:rPr>
          <w:rFonts w:hint="eastAsia"/>
          <w:lang w:val="en-US" w:eastAsia="zh-CN"/>
        </w:rPr>
        <w:t>discussions on the pre-configured MG pattern</w:t>
      </w:r>
      <w:r w:rsidR="00AD4048" w:rsidRPr="00D55E8E">
        <w:rPr>
          <w:rFonts w:hint="eastAsia"/>
          <w:lang w:val="en-US" w:eastAsia="zh-CN"/>
        </w:rPr>
        <w:t xml:space="preserve"> and </w:t>
      </w:r>
      <w:r w:rsidR="001F4417">
        <w:rPr>
          <w:rFonts w:hint="eastAsia"/>
          <w:lang w:val="en-US" w:eastAsia="zh-CN"/>
        </w:rPr>
        <w:t xml:space="preserve">the </w:t>
      </w:r>
      <w:r w:rsidR="00AD4048" w:rsidRPr="00D55E8E">
        <w:rPr>
          <w:rFonts w:hint="eastAsia"/>
          <w:lang w:val="en-US" w:eastAsia="zh-CN"/>
        </w:rPr>
        <w:t>following proposals are given</w:t>
      </w:r>
      <w:r w:rsidR="00AD4048" w:rsidRPr="00D55E8E">
        <w:rPr>
          <w:rFonts w:hint="eastAsia"/>
          <w:lang w:val="en-US" w:eastAsia="zh-CN"/>
        </w:rPr>
        <w:t>：</w:t>
      </w:r>
    </w:p>
    <w:p w:rsidR="00A521AB" w:rsidRPr="002A7D38" w:rsidRDefault="00A521AB" w:rsidP="00A521AB">
      <w:pPr>
        <w:spacing w:beforeLines="50" w:before="120"/>
        <w:rPr>
          <w:b/>
          <w:lang w:val="en-US" w:eastAsia="zh-CN"/>
        </w:rPr>
      </w:pPr>
      <w:r>
        <w:rPr>
          <w:b/>
          <w:lang w:val="en-US" w:eastAsia="zh-CN"/>
        </w:rPr>
        <w:t>P</w:t>
      </w:r>
      <w:r>
        <w:rPr>
          <w:rFonts w:hint="eastAsia"/>
          <w:b/>
          <w:lang w:val="en-US" w:eastAsia="zh-CN"/>
        </w:rPr>
        <w:t xml:space="preserve">roposal 1: </w:t>
      </w:r>
      <w:r w:rsidRPr="002A7D38">
        <w:rPr>
          <w:b/>
          <w:lang w:val="en-US" w:eastAsia="zh-CN"/>
        </w:rPr>
        <w:t xml:space="preserve">UE shall inform network about the PRS measurement by </w:t>
      </w:r>
      <w:r w:rsidRPr="002A7D38">
        <w:rPr>
          <w:b/>
          <w:i/>
          <w:lang w:val="en-US" w:eastAsia="zh-CN"/>
        </w:rPr>
        <w:t>LocationMeasurementIndication</w:t>
      </w:r>
      <w:r>
        <w:rPr>
          <w:b/>
          <w:lang w:val="en-US" w:eastAsia="zh-CN"/>
        </w:rPr>
        <w:t xml:space="preserve"> </w:t>
      </w:r>
      <w:r>
        <w:rPr>
          <w:rFonts w:hint="eastAsia"/>
          <w:b/>
          <w:lang w:val="en-US" w:eastAsia="zh-CN"/>
        </w:rPr>
        <w:t xml:space="preserve">message </w:t>
      </w:r>
      <w:r w:rsidRPr="002A7D38">
        <w:rPr>
          <w:rFonts w:eastAsiaTheme="minorEastAsia"/>
          <w:b/>
          <w:bCs/>
        </w:rPr>
        <w:t xml:space="preserve">when UE is going to perform PRS measurement </w:t>
      </w:r>
      <w:r>
        <w:rPr>
          <w:rFonts w:eastAsiaTheme="minorEastAsia" w:hint="eastAsia"/>
          <w:b/>
          <w:bCs/>
          <w:lang w:eastAsia="zh-CN"/>
        </w:rPr>
        <w:t xml:space="preserve">with measurement gap irrelevant of legacy gap or pre-configured MG. </w:t>
      </w:r>
    </w:p>
    <w:p w:rsidR="00A521AB" w:rsidRPr="00BB1197" w:rsidRDefault="00A521AB" w:rsidP="00A521AB">
      <w:pPr>
        <w:spacing w:beforeLines="50" w:before="120"/>
        <w:rPr>
          <w:b/>
          <w:lang w:eastAsia="zh-CN"/>
        </w:rPr>
      </w:pPr>
      <w:r>
        <w:rPr>
          <w:b/>
          <w:lang w:val="en-US" w:eastAsia="zh-CN"/>
        </w:rPr>
        <w:lastRenderedPageBreak/>
        <w:t>P</w:t>
      </w:r>
      <w:r>
        <w:rPr>
          <w:rFonts w:hint="eastAsia"/>
          <w:b/>
          <w:lang w:val="en-US" w:eastAsia="zh-CN"/>
        </w:rPr>
        <w:t xml:space="preserve">roposal 2: </w:t>
      </w:r>
      <w:r w:rsidRPr="00BB1197">
        <w:rPr>
          <w:rFonts w:hint="eastAsia"/>
          <w:b/>
          <w:lang w:val="en-US" w:eastAsia="zh-CN"/>
        </w:rPr>
        <w:t xml:space="preserve">UE will be indicated the activation/deactivation status of Pre-MG per BWP per CC. </w:t>
      </w:r>
      <w:r w:rsidRPr="00BB1197">
        <w:rPr>
          <w:b/>
          <w:lang w:val="en-US" w:eastAsia="zh-CN"/>
        </w:rPr>
        <w:t>A</w:t>
      </w:r>
      <w:r w:rsidRPr="00BB1197">
        <w:rPr>
          <w:rFonts w:hint="eastAsia"/>
          <w:b/>
          <w:lang w:val="en-US" w:eastAsia="zh-CN"/>
        </w:rPr>
        <w:t xml:space="preserve">nd the final activation/deactivation status of the per-UE/per-FR gap can be determined based on the following principles: </w:t>
      </w:r>
    </w:p>
    <w:p w:rsidR="00A521AB" w:rsidRPr="00BB1197" w:rsidRDefault="00A521AB" w:rsidP="00A521AB">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b/>
          <w:iCs/>
          <w:sz w:val="20"/>
          <w:lang w:val="en-US"/>
        </w:rPr>
      </w:pPr>
      <w:r w:rsidRPr="00BB1197">
        <w:rPr>
          <w:b/>
          <w:iCs/>
          <w:sz w:val="20"/>
        </w:rPr>
        <w:t xml:space="preserve">When configured with per-UE gap, the gap is </w:t>
      </w:r>
      <w:r w:rsidRPr="00BB1197">
        <w:rPr>
          <w:rFonts w:hint="eastAsia"/>
          <w:b/>
          <w:iCs/>
          <w:sz w:val="20"/>
        </w:rPr>
        <w:t>activated</w:t>
      </w:r>
      <w:r w:rsidRPr="00BB1197">
        <w:rPr>
          <w:b/>
          <w:iCs/>
          <w:sz w:val="20"/>
        </w:rPr>
        <w:t xml:space="preserve"> as long as the pre-MG status in one of the CCs is </w:t>
      </w:r>
      <w:r w:rsidRPr="00BB1197">
        <w:rPr>
          <w:rFonts w:hint="eastAsia"/>
          <w:b/>
          <w:iCs/>
          <w:sz w:val="20"/>
        </w:rPr>
        <w:t>activation</w:t>
      </w:r>
      <w:r w:rsidRPr="00BB1197">
        <w:rPr>
          <w:b/>
          <w:iCs/>
          <w:sz w:val="20"/>
        </w:rPr>
        <w:t xml:space="preserve">, and the gap is </w:t>
      </w:r>
      <w:r w:rsidRPr="00BB1197">
        <w:rPr>
          <w:rFonts w:hint="eastAsia"/>
          <w:b/>
          <w:iCs/>
          <w:sz w:val="20"/>
        </w:rPr>
        <w:t>deactivated</w:t>
      </w:r>
      <w:r w:rsidRPr="00BB1197">
        <w:rPr>
          <w:b/>
          <w:iCs/>
          <w:sz w:val="20"/>
        </w:rPr>
        <w:t xml:space="preserve"> only if the pre-MG status in all CCs </w:t>
      </w:r>
      <w:r w:rsidRPr="00BB1197">
        <w:rPr>
          <w:rFonts w:hint="eastAsia"/>
          <w:b/>
          <w:iCs/>
          <w:sz w:val="20"/>
        </w:rPr>
        <w:t>is deactivation</w:t>
      </w:r>
      <w:r w:rsidRPr="00BB1197">
        <w:rPr>
          <w:b/>
          <w:iCs/>
          <w:sz w:val="20"/>
        </w:rPr>
        <w:t xml:space="preserve">. </w:t>
      </w:r>
    </w:p>
    <w:p w:rsidR="00A521AB" w:rsidRPr="0002482A" w:rsidRDefault="00A521AB" w:rsidP="00A521AB">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b/>
          <w:iCs/>
          <w:sz w:val="20"/>
          <w:lang w:val="en-US"/>
        </w:rPr>
      </w:pPr>
      <w:r w:rsidRPr="00BB1197">
        <w:rPr>
          <w:b/>
          <w:iCs/>
          <w:sz w:val="20"/>
        </w:rPr>
        <w:t xml:space="preserve">When configured with per-FR gap, the gap is </w:t>
      </w:r>
      <w:r w:rsidRPr="00BB1197">
        <w:rPr>
          <w:rFonts w:hint="eastAsia"/>
          <w:b/>
          <w:iCs/>
          <w:sz w:val="20"/>
        </w:rPr>
        <w:t>activated</w:t>
      </w:r>
      <w:r w:rsidRPr="00BB1197">
        <w:rPr>
          <w:b/>
          <w:iCs/>
          <w:sz w:val="20"/>
        </w:rPr>
        <w:t xml:space="preserve"> as long as the pre-MG status in one of the CCs</w:t>
      </w:r>
      <w:r w:rsidRPr="00BB1197">
        <w:rPr>
          <w:rFonts w:hint="eastAsia"/>
          <w:b/>
          <w:iCs/>
          <w:sz w:val="20"/>
        </w:rPr>
        <w:t xml:space="preserve"> </w:t>
      </w:r>
      <w:r w:rsidRPr="00BB1197">
        <w:rPr>
          <w:b/>
          <w:iCs/>
          <w:sz w:val="20"/>
        </w:rPr>
        <w:t xml:space="preserve">in the same FR is </w:t>
      </w:r>
      <w:r w:rsidRPr="00BB1197">
        <w:rPr>
          <w:rFonts w:hint="eastAsia"/>
          <w:b/>
          <w:iCs/>
          <w:sz w:val="20"/>
        </w:rPr>
        <w:t>activation</w:t>
      </w:r>
      <w:r w:rsidRPr="00BB1197">
        <w:rPr>
          <w:b/>
          <w:iCs/>
          <w:sz w:val="20"/>
        </w:rPr>
        <w:t xml:space="preserve">, and the gap is </w:t>
      </w:r>
      <w:r w:rsidRPr="00BB1197">
        <w:rPr>
          <w:rFonts w:hint="eastAsia"/>
          <w:b/>
          <w:iCs/>
          <w:sz w:val="20"/>
        </w:rPr>
        <w:t>deactivated</w:t>
      </w:r>
      <w:r w:rsidRPr="00BB1197">
        <w:rPr>
          <w:b/>
          <w:iCs/>
          <w:sz w:val="20"/>
        </w:rPr>
        <w:t xml:space="preserve"> only if the pre-MG status in all CCs</w:t>
      </w:r>
      <w:r w:rsidRPr="00BB1197">
        <w:rPr>
          <w:rFonts w:hint="eastAsia"/>
          <w:b/>
          <w:iCs/>
          <w:sz w:val="20"/>
        </w:rPr>
        <w:t xml:space="preserve"> </w:t>
      </w:r>
      <w:r w:rsidRPr="00BB1197">
        <w:rPr>
          <w:b/>
          <w:iCs/>
          <w:sz w:val="20"/>
        </w:rPr>
        <w:t xml:space="preserve">in the same FR </w:t>
      </w:r>
      <w:r w:rsidRPr="00BB1197">
        <w:rPr>
          <w:rFonts w:hint="eastAsia"/>
          <w:b/>
          <w:iCs/>
          <w:sz w:val="20"/>
        </w:rPr>
        <w:t>is deactivation</w:t>
      </w:r>
      <w:r w:rsidRPr="00BB1197">
        <w:rPr>
          <w:rFonts w:eastAsiaTheme="minorEastAsia" w:hint="eastAsia"/>
          <w:b/>
          <w:bCs/>
        </w:rPr>
        <w:t xml:space="preserve">. </w:t>
      </w:r>
    </w:p>
    <w:p w:rsidR="00A521AB" w:rsidRPr="00BB1197" w:rsidRDefault="00A521AB" w:rsidP="00A521AB">
      <w:pPr>
        <w:pStyle w:val="af8"/>
        <w:widowControl/>
        <w:numPr>
          <w:ilvl w:val="1"/>
          <w:numId w:val="6"/>
        </w:numPr>
        <w:overflowPunct w:val="0"/>
        <w:autoSpaceDE w:val="0"/>
        <w:autoSpaceDN w:val="0"/>
        <w:adjustRightInd w:val="0"/>
        <w:spacing w:before="0" w:after="180" w:line="259" w:lineRule="auto"/>
        <w:ind w:firstLineChars="0"/>
        <w:jc w:val="left"/>
        <w:textAlignment w:val="baseline"/>
        <w:rPr>
          <w:rFonts w:ascii="Calibri" w:eastAsiaTheme="minorEastAsia" w:hAnsi="Calibri" w:cs="Calibri"/>
          <w:b/>
          <w:iCs/>
          <w:sz w:val="20"/>
          <w:lang w:val="en-US"/>
        </w:rPr>
      </w:pPr>
      <w:r>
        <w:rPr>
          <w:b/>
          <w:iCs/>
          <w:sz w:val="20"/>
        </w:rPr>
        <w:t>W</w:t>
      </w:r>
      <w:r>
        <w:rPr>
          <w:rFonts w:hint="eastAsia"/>
          <w:b/>
          <w:iCs/>
          <w:sz w:val="20"/>
        </w:rPr>
        <w:t>hen determining the Pre-MG status, only the activated CC is considered</w:t>
      </w:r>
      <w:r>
        <w:rPr>
          <w:rFonts w:ascii="Calibri" w:eastAsiaTheme="minorEastAsia" w:hAnsi="Calibri" w:cs="Calibri" w:hint="eastAsia"/>
          <w:b/>
          <w:iCs/>
          <w:sz w:val="20"/>
          <w:lang w:val="en-US"/>
        </w:rPr>
        <w:t xml:space="preserve">. </w:t>
      </w:r>
    </w:p>
    <w:p w:rsidR="00A521AB" w:rsidRPr="00AD43C9" w:rsidRDefault="00A521AB" w:rsidP="00A521AB">
      <w:pPr>
        <w:spacing w:beforeLines="50" w:before="120"/>
        <w:rPr>
          <w:b/>
          <w:lang w:val="en-US" w:eastAsia="zh-CN"/>
        </w:rPr>
      </w:pPr>
      <w:r w:rsidRPr="001165D1">
        <w:rPr>
          <w:b/>
          <w:lang w:val="en-US"/>
        </w:rPr>
        <w:t>P</w:t>
      </w:r>
      <w:r w:rsidRPr="001165D1">
        <w:rPr>
          <w:rFonts w:hint="eastAsia"/>
          <w:b/>
          <w:lang w:val="en-US"/>
        </w:rPr>
        <w:t xml:space="preserve">roposal </w:t>
      </w:r>
      <w:r>
        <w:rPr>
          <w:rFonts w:hint="eastAsia"/>
          <w:b/>
          <w:lang w:val="en-US" w:eastAsia="zh-CN"/>
        </w:rPr>
        <w:t>3</w:t>
      </w:r>
      <w:r w:rsidRPr="001165D1">
        <w:rPr>
          <w:rFonts w:hint="eastAsia"/>
          <w:b/>
          <w:lang w:val="en-US"/>
        </w:rPr>
        <w:t xml:space="preserve">: </w:t>
      </w:r>
      <w:r>
        <w:rPr>
          <w:rFonts w:hint="eastAsia"/>
          <w:b/>
          <w:lang w:val="en-US" w:eastAsia="zh-CN"/>
        </w:rPr>
        <w:t>Inform RAN2</w:t>
      </w:r>
      <w:r w:rsidRPr="001165D1">
        <w:rPr>
          <w:rFonts w:hint="eastAsia"/>
          <w:b/>
          <w:lang w:val="en-US"/>
        </w:rPr>
        <w:t xml:space="preserve"> </w:t>
      </w:r>
      <w:r>
        <w:rPr>
          <w:rFonts w:hint="eastAsia"/>
          <w:b/>
          <w:lang w:val="en-US" w:eastAsia="zh-CN"/>
        </w:rPr>
        <w:t xml:space="preserve">about the principle in proposal 2 to align the understanding cross groups and help the detailed signaling design of CA case. </w:t>
      </w:r>
    </w:p>
    <w:p w:rsidR="00A521AB" w:rsidRPr="00AD43C9" w:rsidRDefault="00A521AB" w:rsidP="00A521AB">
      <w:pPr>
        <w:spacing w:beforeLines="50" w:before="120"/>
        <w:rPr>
          <w:b/>
          <w:lang w:val="en-US" w:eastAsia="zh-CN"/>
        </w:rPr>
      </w:pPr>
      <w:r w:rsidRPr="001165D1">
        <w:rPr>
          <w:b/>
          <w:lang w:val="en-US"/>
        </w:rPr>
        <w:t>P</w:t>
      </w:r>
      <w:r w:rsidRPr="001165D1">
        <w:rPr>
          <w:rFonts w:hint="eastAsia"/>
          <w:b/>
          <w:lang w:val="en-US"/>
        </w:rPr>
        <w:t xml:space="preserve">roposal </w:t>
      </w:r>
      <w:r>
        <w:rPr>
          <w:rFonts w:hint="eastAsia"/>
          <w:b/>
          <w:lang w:val="en-US" w:eastAsia="zh-CN"/>
        </w:rPr>
        <w:t>4</w:t>
      </w:r>
      <w:r w:rsidRPr="001165D1">
        <w:rPr>
          <w:rFonts w:hint="eastAsia"/>
          <w:b/>
          <w:lang w:val="en-US"/>
        </w:rPr>
        <w:t xml:space="preserve">: </w:t>
      </w:r>
      <w:r>
        <w:rPr>
          <w:rFonts w:hint="eastAsia"/>
          <w:b/>
          <w:lang w:val="en-US" w:eastAsia="zh-CN"/>
        </w:rPr>
        <w:t xml:space="preserve">Do not consider additional trigger event for pre-configured MG. </w:t>
      </w:r>
    </w:p>
    <w:p w:rsidR="00A521AB" w:rsidRDefault="00A521AB" w:rsidP="00A521AB">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 xml:space="preserve">roposal </w:t>
      </w:r>
      <w:r>
        <w:rPr>
          <w:rFonts w:hint="eastAsia"/>
          <w:b/>
          <w:lang w:val="en-US" w:eastAsia="zh-CN"/>
        </w:rPr>
        <w:t>5</w:t>
      </w:r>
      <w:r w:rsidRPr="001165D1">
        <w:rPr>
          <w:rFonts w:hint="eastAsia"/>
          <w:b/>
          <w:lang w:val="en-US"/>
        </w:rPr>
        <w:t xml:space="preserve">: </w:t>
      </w:r>
      <w:r>
        <w:rPr>
          <w:rFonts w:hint="eastAsia"/>
          <w:b/>
          <w:lang w:val="en-US" w:eastAsia="zh-CN"/>
        </w:rPr>
        <w:t xml:space="preserve">Accept option 1a for </w:t>
      </w:r>
      <w:r w:rsidRPr="00821EA4">
        <w:rPr>
          <w:rFonts w:eastAsiaTheme="minorEastAsia"/>
          <w:b/>
        </w:rPr>
        <w:t>the rules on how to combine the i</w:t>
      </w:r>
      <w:r>
        <w:rPr>
          <w:rFonts w:eastAsiaTheme="minorEastAsia"/>
          <w:b/>
        </w:rPr>
        <w:t>ndividual per-BWP pre-MG status</w:t>
      </w:r>
      <w:r w:rsidRPr="00821EA4">
        <w:rPr>
          <w:rFonts w:eastAsiaTheme="minorEastAsia"/>
          <w:b/>
        </w:rPr>
        <w:t>.</w:t>
      </w:r>
    </w:p>
    <w:p w:rsidR="00A521AB" w:rsidRPr="00AC6215" w:rsidRDefault="00A521AB" w:rsidP="00A521AB">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When configured with per-UE gap, </w:t>
      </w:r>
    </w:p>
    <w:p w:rsidR="00A521AB" w:rsidRPr="00AC6215" w:rsidRDefault="00A521AB" w:rsidP="00A521AB">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assume the per-UE gap is ON as long as the pre-MG status of active DL BWP in one of the CCs is ON, </w:t>
      </w:r>
    </w:p>
    <w:p w:rsidR="00A521AB" w:rsidRPr="00AC6215" w:rsidRDefault="00A521AB" w:rsidP="00A521AB">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and assume the per-UE gap is OFF only if the pre-MG status of active DL BWP in all CCs are OFF. </w:t>
      </w:r>
    </w:p>
    <w:p w:rsidR="00A521AB" w:rsidRPr="00AC6215" w:rsidRDefault="00A521AB" w:rsidP="00A521AB">
      <w:pPr>
        <w:pStyle w:val="af8"/>
        <w:widowControl/>
        <w:numPr>
          <w:ilvl w:val="2"/>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When configured with per-FR gap, </w:t>
      </w:r>
    </w:p>
    <w:p w:rsidR="00A521AB" w:rsidRPr="00AC6215" w:rsidRDefault="00A521AB" w:rsidP="00A521AB">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 xml:space="preserve">assume the gap is ON as long as the pre-MG status of active DL BWP in one of the CCs in the same FR is ON, </w:t>
      </w:r>
    </w:p>
    <w:p w:rsidR="00EC6786" w:rsidRPr="004554BC" w:rsidRDefault="00A521AB" w:rsidP="008105E9">
      <w:pPr>
        <w:pStyle w:val="af8"/>
        <w:widowControl/>
        <w:numPr>
          <w:ilvl w:val="3"/>
          <w:numId w:val="6"/>
        </w:numPr>
        <w:overflowPunct w:val="0"/>
        <w:autoSpaceDE w:val="0"/>
        <w:autoSpaceDN w:val="0"/>
        <w:adjustRightInd w:val="0"/>
        <w:spacing w:before="0" w:after="120" w:line="240" w:lineRule="auto"/>
        <w:ind w:firstLineChars="0"/>
        <w:jc w:val="left"/>
        <w:textAlignment w:val="baseline"/>
        <w:rPr>
          <w:rFonts w:eastAsiaTheme="minorEastAsia"/>
          <w:b/>
          <w:sz w:val="20"/>
        </w:rPr>
      </w:pPr>
      <w:r w:rsidRPr="00AC6215">
        <w:rPr>
          <w:rFonts w:eastAsiaTheme="minorEastAsia"/>
          <w:b/>
          <w:sz w:val="20"/>
        </w:rPr>
        <w:t>and assume the gap is OFF only if the pre-MG status of active DL active DL BWP in all CCs in the same FR are OFF</w:t>
      </w:r>
    </w:p>
    <w:p w:rsidR="004554BC" w:rsidRPr="00215103" w:rsidRDefault="004554BC" w:rsidP="004554BC">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6</w:t>
      </w:r>
      <w:r w:rsidRPr="001165D1">
        <w:rPr>
          <w:rFonts w:hint="eastAsia"/>
          <w:b/>
          <w:lang w:val="en-US"/>
        </w:rPr>
        <w:t xml:space="preserve">: </w:t>
      </w:r>
      <w:r>
        <w:rPr>
          <w:rFonts w:hint="eastAsia"/>
          <w:b/>
          <w:lang w:val="en-US" w:eastAsia="zh-CN"/>
        </w:rPr>
        <w:t>Do not consider the cases when multiple trigger events happened simultaneously</w:t>
      </w:r>
      <w:r w:rsidRPr="00821EA4">
        <w:rPr>
          <w:rFonts w:eastAsiaTheme="minorEastAsia"/>
          <w:b/>
        </w:rPr>
        <w:t>.</w:t>
      </w:r>
      <w:r>
        <w:rPr>
          <w:rFonts w:eastAsiaTheme="minorEastAsia" w:hint="eastAsia"/>
          <w:b/>
          <w:lang w:eastAsia="zh-CN"/>
        </w:rPr>
        <w:t xml:space="preserve"> </w:t>
      </w:r>
    </w:p>
    <w:p w:rsidR="0062544C" w:rsidRDefault="0062544C" w:rsidP="0062544C">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7</w:t>
      </w:r>
      <w:r w:rsidRPr="001165D1">
        <w:rPr>
          <w:rFonts w:hint="eastAsia"/>
          <w:b/>
          <w:lang w:val="en-US"/>
        </w:rPr>
        <w:t xml:space="preserve">: </w:t>
      </w:r>
      <w:r>
        <w:rPr>
          <w:rFonts w:hint="eastAsia"/>
          <w:b/>
          <w:lang w:val="en-US" w:eastAsia="zh-CN"/>
        </w:rPr>
        <w:t>For timer based BWP switching</w:t>
      </w:r>
      <w:r>
        <w:rPr>
          <w:rFonts w:eastAsiaTheme="minorEastAsia" w:hint="eastAsia"/>
          <w:b/>
          <w:lang w:eastAsia="zh-CN"/>
        </w:rPr>
        <w:t xml:space="preserve">, the </w:t>
      </w:r>
      <w:r w:rsidRPr="000608C9">
        <w:rPr>
          <w:rFonts w:eastAsiaTheme="minorEastAsia"/>
          <w:b/>
          <w:lang w:eastAsia="zh-CN"/>
        </w:rPr>
        <w:t>pre-MG activation/deactivation</w:t>
      </w:r>
      <w:r>
        <w:rPr>
          <w:rFonts w:eastAsiaTheme="minorEastAsia" w:hint="eastAsia"/>
          <w:b/>
          <w:lang w:eastAsia="zh-CN"/>
        </w:rPr>
        <w:t xml:space="preserve"> delay starts from </w:t>
      </w:r>
      <w:r w:rsidRPr="000608C9">
        <w:rPr>
          <w:rFonts w:eastAsiaTheme="minorEastAsia"/>
          <w:b/>
          <w:lang w:eastAsia="zh-CN"/>
        </w:rPr>
        <w:t>the first slot of a DL subframe (FR1) or DL half-subframe (FR2) immediately after a BWP-inactivity timer bwp-InactivityTimer</w:t>
      </w:r>
      <w:r>
        <w:rPr>
          <w:rFonts w:eastAsiaTheme="minorEastAsia" w:hint="eastAsia"/>
          <w:b/>
          <w:lang w:eastAsia="zh-CN"/>
        </w:rPr>
        <w:t xml:space="preserve"> </w:t>
      </w:r>
      <w:r w:rsidRPr="000608C9">
        <w:rPr>
          <w:rFonts w:eastAsiaTheme="minorEastAsia"/>
          <w:b/>
          <w:lang w:eastAsia="zh-CN"/>
        </w:rPr>
        <w:t>expires on a serving cell</w:t>
      </w:r>
      <w:r>
        <w:rPr>
          <w:rFonts w:eastAsiaTheme="minorEastAsia" w:hint="eastAsia"/>
          <w:b/>
          <w:lang w:eastAsia="zh-CN"/>
        </w:rPr>
        <w:t xml:space="preserve">. </w:t>
      </w:r>
    </w:p>
    <w:p w:rsidR="0062544C" w:rsidRDefault="0062544C" w:rsidP="0062544C">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8</w:t>
      </w:r>
      <w:r w:rsidRPr="001165D1">
        <w:rPr>
          <w:rFonts w:hint="eastAsia"/>
          <w:b/>
          <w:lang w:val="en-US"/>
        </w:rPr>
        <w:t xml:space="preserve">: </w:t>
      </w:r>
      <w:r>
        <w:rPr>
          <w:rFonts w:hint="eastAsia"/>
          <w:b/>
          <w:lang w:val="en-US" w:eastAsia="zh-CN"/>
        </w:rPr>
        <w:t>For the events other than DCI/timer based BWP switching</w:t>
      </w:r>
      <w:r>
        <w:rPr>
          <w:rFonts w:eastAsiaTheme="minorEastAsia" w:hint="eastAsia"/>
          <w:b/>
          <w:lang w:eastAsia="zh-CN"/>
        </w:rPr>
        <w:t xml:space="preserve">, the </w:t>
      </w:r>
      <w:r w:rsidRPr="000608C9">
        <w:rPr>
          <w:rFonts w:eastAsiaTheme="minorEastAsia"/>
          <w:b/>
          <w:lang w:eastAsia="zh-CN"/>
        </w:rPr>
        <w:t>pre-MG activation/deactivation</w:t>
      </w:r>
      <w:r>
        <w:rPr>
          <w:rFonts w:eastAsiaTheme="minorEastAsia" w:hint="eastAsia"/>
          <w:b/>
          <w:lang w:eastAsia="zh-CN"/>
        </w:rPr>
        <w:t xml:space="preserve"> delay starts from </w:t>
      </w:r>
      <w:r w:rsidRPr="000608C9">
        <w:rPr>
          <w:rFonts w:eastAsiaTheme="minorEastAsia"/>
          <w:b/>
          <w:lang w:eastAsia="zh-CN"/>
        </w:rPr>
        <w:t xml:space="preserve">the slot </w:t>
      </w:r>
      <w:r>
        <w:rPr>
          <w:rFonts w:eastAsiaTheme="minorEastAsia" w:hint="eastAsia"/>
          <w:b/>
          <w:lang w:eastAsia="zh-CN"/>
        </w:rPr>
        <w:t xml:space="preserve">where UE receives the network command </w:t>
      </w:r>
      <w:r>
        <w:rPr>
          <w:rFonts w:eastAsiaTheme="minorEastAsia"/>
          <w:b/>
          <w:lang w:eastAsia="zh-CN"/>
        </w:rPr>
        <w:t>triggering</w:t>
      </w:r>
      <w:r>
        <w:rPr>
          <w:rFonts w:eastAsiaTheme="minorEastAsia" w:hint="eastAsia"/>
          <w:b/>
          <w:lang w:eastAsia="zh-CN"/>
        </w:rPr>
        <w:t xml:space="preserve"> the event. </w:t>
      </w:r>
    </w:p>
    <w:p w:rsidR="0062544C" w:rsidRDefault="0062544C" w:rsidP="0062544C">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9</w:t>
      </w:r>
      <w:r w:rsidRPr="001165D1">
        <w:rPr>
          <w:rFonts w:hint="eastAsia"/>
          <w:b/>
          <w:lang w:val="en-US"/>
        </w:rPr>
        <w:t xml:space="preserve">: </w:t>
      </w:r>
      <w:r w:rsidRPr="000B22EE">
        <w:rPr>
          <w:b/>
          <w:lang w:val="en-US" w:eastAsia="zh-CN"/>
        </w:rPr>
        <w:t xml:space="preserve">The Pre-MG activation/deactivation delay for CA with single CC based BWP switching shall be the same as </w:t>
      </w:r>
      <w:r>
        <w:rPr>
          <w:rFonts w:hint="eastAsia"/>
          <w:b/>
          <w:lang w:val="en-US" w:eastAsia="zh-CN"/>
        </w:rPr>
        <w:t xml:space="preserve">that for </w:t>
      </w:r>
      <w:r w:rsidRPr="000B22EE">
        <w:rPr>
          <w:b/>
          <w:lang w:val="en-US" w:eastAsia="zh-CN"/>
        </w:rPr>
        <w:t>non-CA</w:t>
      </w:r>
      <w:r>
        <w:rPr>
          <w:rFonts w:hint="eastAsia"/>
          <w:b/>
          <w:lang w:val="en-US" w:eastAsia="zh-CN"/>
        </w:rPr>
        <w:t xml:space="preserve"> case</w:t>
      </w:r>
      <w:r>
        <w:rPr>
          <w:rFonts w:eastAsiaTheme="minorEastAsia" w:hint="eastAsia"/>
          <w:b/>
          <w:lang w:eastAsia="zh-CN"/>
        </w:rPr>
        <w:t xml:space="preserve">. </w:t>
      </w:r>
    </w:p>
    <w:p w:rsidR="0062544C" w:rsidRDefault="0062544C" w:rsidP="0062544C">
      <w:pPr>
        <w:overflowPunct w:val="0"/>
        <w:autoSpaceDE w:val="0"/>
        <w:autoSpaceDN w:val="0"/>
        <w:adjustRightInd w:val="0"/>
        <w:spacing w:line="259" w:lineRule="auto"/>
        <w:textAlignment w:val="baseline"/>
        <w:rPr>
          <w:rFonts w:eastAsiaTheme="minorEastAsia"/>
          <w:b/>
          <w:lang w:eastAsia="zh-CN"/>
        </w:rPr>
      </w:pPr>
      <w:r w:rsidRPr="001165D1">
        <w:rPr>
          <w:b/>
          <w:lang w:val="en-US"/>
        </w:rPr>
        <w:t>P</w:t>
      </w:r>
      <w:r w:rsidRPr="001165D1">
        <w:rPr>
          <w:rFonts w:hint="eastAsia"/>
          <w:b/>
          <w:lang w:val="en-US"/>
        </w:rPr>
        <w:t>roposal</w:t>
      </w:r>
      <w:r>
        <w:rPr>
          <w:rFonts w:hint="eastAsia"/>
          <w:b/>
          <w:lang w:val="en-US" w:eastAsia="zh-CN"/>
        </w:rPr>
        <w:t xml:space="preserve"> 10</w:t>
      </w:r>
      <w:r w:rsidRPr="001165D1">
        <w:rPr>
          <w:rFonts w:hint="eastAsia"/>
          <w:b/>
          <w:lang w:val="en-US"/>
        </w:rPr>
        <w:t xml:space="preserve">: </w:t>
      </w:r>
      <w:r>
        <w:rPr>
          <w:rFonts w:hint="eastAsia"/>
          <w:b/>
          <w:lang w:val="en-US" w:eastAsia="zh-CN"/>
        </w:rPr>
        <w:t xml:space="preserve">UE shall continue the on-going measurement </w:t>
      </w:r>
      <w:r w:rsidRPr="00841413">
        <w:rPr>
          <w:b/>
          <w:lang w:val="en-US" w:eastAsia="zh-CN"/>
        </w:rPr>
        <w:t xml:space="preserve">when </w:t>
      </w:r>
      <w:r>
        <w:rPr>
          <w:rFonts w:hint="eastAsia"/>
          <w:b/>
          <w:lang w:val="en-US" w:eastAsia="zh-CN"/>
        </w:rPr>
        <w:t>there is pre-MG status change during measurement period</w:t>
      </w:r>
      <w:r>
        <w:rPr>
          <w:rFonts w:eastAsiaTheme="minorEastAsia" w:hint="eastAsia"/>
          <w:b/>
          <w:lang w:eastAsia="zh-CN"/>
        </w:rPr>
        <w:t xml:space="preserve">. </w:t>
      </w:r>
    </w:p>
    <w:p w:rsidR="004554BC" w:rsidRPr="0062544C" w:rsidRDefault="0062544C" w:rsidP="0062544C">
      <w:pPr>
        <w:spacing w:beforeLines="50" w:before="120"/>
        <w:rPr>
          <w:b/>
          <w:lang w:val="en-US" w:eastAsia="zh-CN"/>
        </w:rPr>
      </w:pPr>
      <w:r w:rsidRPr="00023D83">
        <w:rPr>
          <w:b/>
          <w:lang w:eastAsia="zh-CN"/>
        </w:rPr>
        <w:t>P</w:t>
      </w:r>
      <w:r w:rsidRPr="00023D83">
        <w:rPr>
          <w:rFonts w:hint="eastAsia"/>
          <w:b/>
          <w:lang w:eastAsia="zh-CN"/>
        </w:rPr>
        <w:t xml:space="preserve">roposal </w:t>
      </w:r>
      <w:r>
        <w:rPr>
          <w:rFonts w:hint="eastAsia"/>
          <w:b/>
          <w:lang w:eastAsia="zh-CN"/>
        </w:rPr>
        <w:t>11</w:t>
      </w:r>
      <w:r w:rsidRPr="00023D83">
        <w:rPr>
          <w:rFonts w:hint="eastAsia"/>
          <w:b/>
          <w:lang w:eastAsia="zh-CN"/>
        </w:rPr>
        <w:t>: The measurement requirements for the case that pre-MG status changed during the measurement period are</w:t>
      </w:r>
      <w:r w:rsidRPr="00023D83">
        <w:rPr>
          <w:b/>
          <w:lang w:eastAsia="zh-CN"/>
        </w:rPr>
        <w:t xml:space="preserve"> based on the number of resources within gap and without gap</w:t>
      </w:r>
      <w:r w:rsidRPr="00023D83">
        <w:rPr>
          <w:rFonts w:hint="eastAsia"/>
          <w:b/>
          <w:lang w:eastAsia="zh-CN"/>
        </w:rPr>
        <w:t xml:space="preserve"> respectively i.e. </w:t>
      </w:r>
      <w:r w:rsidRPr="00023D83">
        <w:rPr>
          <w:b/>
          <w:szCs w:val="22"/>
        </w:rPr>
        <w:t>T</w:t>
      </w:r>
      <w:r w:rsidRPr="00023D83">
        <w:rPr>
          <w:b/>
          <w:szCs w:val="22"/>
          <w:vertAlign w:val="subscript"/>
        </w:rPr>
        <w:t>measure, total</w:t>
      </w:r>
      <w:r w:rsidRPr="00023D83">
        <w:rPr>
          <w:b/>
          <w:szCs w:val="22"/>
        </w:rPr>
        <w:t xml:space="preserve"> = </w:t>
      </w:r>
      <w:r>
        <w:rPr>
          <w:rFonts w:hint="eastAsia"/>
          <w:b/>
          <w:szCs w:val="22"/>
          <w:lang w:eastAsia="zh-CN"/>
        </w:rPr>
        <w:t>M*</w:t>
      </w:r>
      <w:r w:rsidRPr="00023D83">
        <w:rPr>
          <w:b/>
          <w:szCs w:val="22"/>
        </w:rPr>
        <w:t>T</w:t>
      </w:r>
      <w:r>
        <w:rPr>
          <w:b/>
          <w:szCs w:val="22"/>
          <w:vertAlign w:val="subscript"/>
        </w:rPr>
        <w:t>measure</w:t>
      </w:r>
      <w:r>
        <w:rPr>
          <w:rFonts w:hint="eastAsia"/>
          <w:b/>
          <w:szCs w:val="22"/>
          <w:vertAlign w:val="subscript"/>
          <w:lang w:eastAsia="zh-CN"/>
        </w:rPr>
        <w:t>ment with gap</w:t>
      </w:r>
      <w:r w:rsidRPr="00023D83">
        <w:rPr>
          <w:rFonts w:hint="eastAsia"/>
          <w:b/>
          <w:szCs w:val="22"/>
          <w:vertAlign w:val="subscript"/>
          <w:lang w:eastAsia="zh-CN"/>
        </w:rPr>
        <w:t xml:space="preserve"> </w:t>
      </w:r>
      <w:r w:rsidRPr="00023D83">
        <w:rPr>
          <w:b/>
          <w:szCs w:val="22"/>
        </w:rPr>
        <w:t xml:space="preserve">+ </w:t>
      </w:r>
      <w:r>
        <w:rPr>
          <w:rFonts w:hint="eastAsia"/>
          <w:b/>
          <w:szCs w:val="22"/>
          <w:lang w:eastAsia="zh-CN"/>
        </w:rPr>
        <w:t>N*</w:t>
      </w:r>
      <w:r w:rsidRPr="00023D83">
        <w:rPr>
          <w:b/>
          <w:szCs w:val="22"/>
        </w:rPr>
        <w:t>T</w:t>
      </w:r>
      <w:r>
        <w:rPr>
          <w:b/>
          <w:szCs w:val="22"/>
          <w:vertAlign w:val="subscript"/>
        </w:rPr>
        <w:t>measure</w:t>
      </w:r>
      <w:r>
        <w:rPr>
          <w:rFonts w:hint="eastAsia"/>
          <w:b/>
          <w:szCs w:val="22"/>
          <w:vertAlign w:val="subscript"/>
          <w:lang w:eastAsia="zh-CN"/>
        </w:rPr>
        <w:t xml:space="preserve">ment without gap </w:t>
      </w:r>
      <w:r w:rsidRPr="00023D83">
        <w:rPr>
          <w:rFonts w:hint="eastAsia"/>
          <w:b/>
          <w:szCs w:val="22"/>
          <w:lang w:eastAsia="zh-CN"/>
        </w:rPr>
        <w:t xml:space="preserve">+ </w:t>
      </w:r>
      <w:r>
        <w:rPr>
          <w:rFonts w:hint="eastAsia"/>
          <w:b/>
          <w:szCs w:val="22"/>
          <w:lang w:eastAsia="zh-CN"/>
        </w:rPr>
        <w:t>(M+</w:t>
      </w:r>
      <w:r w:rsidRPr="00023D83">
        <w:rPr>
          <w:b/>
          <w:szCs w:val="22"/>
        </w:rPr>
        <w:t>N</w:t>
      </w:r>
      <w:r>
        <w:rPr>
          <w:rFonts w:hint="eastAsia"/>
          <w:b/>
          <w:szCs w:val="22"/>
          <w:lang w:eastAsia="zh-CN"/>
        </w:rPr>
        <w:t>)</w:t>
      </w:r>
      <w:r w:rsidRPr="00023D83">
        <w:rPr>
          <w:b/>
          <w:szCs w:val="22"/>
        </w:rPr>
        <w:t>* (</w:t>
      </w:r>
      <w:r w:rsidRPr="00023D83">
        <w:rPr>
          <w:rFonts w:eastAsia="+mn-ea"/>
          <w:b/>
          <w:kern w:val="24"/>
          <w:lang w:eastAsia="sv-SE"/>
        </w:rPr>
        <w:t>T</w:t>
      </w:r>
      <w:r>
        <w:rPr>
          <w:rFonts w:eastAsiaTheme="minorEastAsia" w:hint="eastAsia"/>
          <w:b/>
          <w:kern w:val="24"/>
          <w:vertAlign w:val="subscript"/>
          <w:lang w:eastAsia="zh-CN"/>
        </w:rPr>
        <w:t xml:space="preserve">activation/deactivation </w:t>
      </w:r>
      <w:r w:rsidRPr="003A5891">
        <w:rPr>
          <w:rFonts w:hint="eastAsia"/>
          <w:b/>
          <w:sz w:val="22"/>
          <w:szCs w:val="22"/>
          <w:vertAlign w:val="subscript"/>
          <w:lang w:eastAsia="zh-CN"/>
        </w:rPr>
        <w:t>delay</w:t>
      </w:r>
      <w:r w:rsidRPr="00023D83">
        <w:rPr>
          <w:b/>
          <w:sz w:val="22"/>
          <w:szCs w:val="22"/>
        </w:rPr>
        <w:t>)</w:t>
      </w:r>
      <w:r w:rsidRPr="00023D83">
        <w:rPr>
          <w:rFonts w:hint="eastAsia"/>
          <w:b/>
          <w:lang w:val="en-US" w:eastAsia="zh-CN"/>
        </w:rPr>
        <w:t xml:space="preserve">. </w:t>
      </w:r>
      <w:r>
        <w:rPr>
          <w:b/>
          <w:lang w:val="en-US" w:eastAsia="zh-CN"/>
        </w:rPr>
        <w:t>W</w:t>
      </w:r>
      <w:r>
        <w:rPr>
          <w:rFonts w:hint="eastAsia"/>
          <w:b/>
          <w:lang w:val="en-US" w:eastAsia="zh-CN"/>
        </w:rPr>
        <w:t xml:space="preserve">here M is the number of samples measured with gap and N is the number of samples measured without gap. </w:t>
      </w:r>
    </w:p>
    <w:p w:rsidR="00451C3D" w:rsidRPr="00451C3D" w:rsidRDefault="00FD5946" w:rsidP="005E230F">
      <w:pPr>
        <w:pStyle w:val="1"/>
        <w:rPr>
          <w:lang w:val="en-US" w:eastAsia="zh-CN"/>
        </w:rPr>
      </w:pPr>
      <w:r>
        <w:rPr>
          <w:rFonts w:hint="eastAsia"/>
          <w:lang w:val="en-US" w:eastAsia="zh-CN"/>
        </w:rPr>
        <w:t xml:space="preserve">4 </w:t>
      </w:r>
      <w:r w:rsidR="0032738F" w:rsidRPr="00AC7DE5">
        <w:rPr>
          <w:lang w:val="en-US" w:eastAsia="zh-CN"/>
        </w:rPr>
        <w:t>References</w:t>
      </w:r>
    </w:p>
    <w:p w:rsidR="00D90121" w:rsidRDefault="00536AF5" w:rsidP="00536AF5">
      <w:pPr>
        <w:pStyle w:val="af8"/>
        <w:numPr>
          <w:ilvl w:val="0"/>
          <w:numId w:val="3"/>
        </w:numPr>
        <w:tabs>
          <w:tab w:val="left" w:pos="360"/>
        </w:tabs>
        <w:spacing w:before="120"/>
        <w:ind w:firstLineChars="0"/>
        <w:rPr>
          <w:lang w:val="en-US"/>
        </w:rPr>
      </w:pPr>
      <w:bookmarkStart w:id="2" w:name="OLE_LINK7"/>
      <w:bookmarkStart w:id="3" w:name="OLE_LINK8"/>
      <w:r w:rsidRPr="00536AF5">
        <w:rPr>
          <w:lang w:val="en-US"/>
        </w:rPr>
        <w:t>R4-2202614</w:t>
      </w:r>
      <w:r w:rsidR="00A83DF1" w:rsidRPr="00594EA9">
        <w:rPr>
          <w:rFonts w:hint="eastAsia"/>
          <w:lang w:val="en-US"/>
        </w:rPr>
        <w:t xml:space="preserve">, </w:t>
      </w:r>
      <w:r w:rsidR="00C151C2" w:rsidRPr="00C151C2">
        <w:t>WF on R17 NR MG enhancements – Pre-configured MG</w:t>
      </w:r>
      <w:r w:rsidR="00A83DF1" w:rsidRPr="00594EA9">
        <w:rPr>
          <w:rFonts w:hint="eastAsia"/>
          <w:lang w:val="en-US"/>
        </w:rPr>
        <w:t xml:space="preserve">, </w:t>
      </w:r>
      <w:bookmarkEnd w:id="2"/>
      <w:bookmarkEnd w:id="3"/>
      <w:r w:rsidR="00C151C2" w:rsidRPr="00594EA9">
        <w:rPr>
          <w:rFonts w:hint="eastAsia"/>
          <w:lang w:val="en-US"/>
        </w:rPr>
        <w:t>Intel</w:t>
      </w:r>
      <w:r w:rsidR="00084BF6">
        <w:rPr>
          <w:rFonts w:hint="eastAsia"/>
          <w:lang w:val="en-US"/>
        </w:rPr>
        <w:t>, RAN4#101</w:t>
      </w:r>
      <w:r w:rsidR="00FD268E">
        <w:rPr>
          <w:rFonts w:hint="eastAsia"/>
          <w:lang w:val="en-US"/>
        </w:rPr>
        <w:t>bis-</w:t>
      </w:r>
      <w:r w:rsidR="00084BF6">
        <w:rPr>
          <w:rFonts w:hint="eastAsia"/>
          <w:lang w:val="en-US"/>
        </w:rPr>
        <w:t>e</w:t>
      </w:r>
      <w:r w:rsidR="00C151C2" w:rsidRPr="00594EA9">
        <w:rPr>
          <w:rFonts w:hint="eastAsia"/>
          <w:lang w:val="en-US"/>
        </w:rPr>
        <w:t xml:space="preserve"> </w:t>
      </w:r>
    </w:p>
    <w:p w:rsidR="00A67F76" w:rsidRDefault="006F4AAF" w:rsidP="006F4AAF">
      <w:pPr>
        <w:pStyle w:val="af8"/>
        <w:numPr>
          <w:ilvl w:val="0"/>
          <w:numId w:val="3"/>
        </w:numPr>
        <w:tabs>
          <w:tab w:val="left" w:pos="360"/>
        </w:tabs>
        <w:spacing w:before="120"/>
        <w:ind w:firstLineChars="0"/>
        <w:rPr>
          <w:lang w:val="en-US"/>
        </w:rPr>
      </w:pPr>
      <w:r>
        <w:rPr>
          <w:lang w:val="en-US"/>
        </w:rPr>
        <w:t>R4-220261</w:t>
      </w:r>
      <w:r>
        <w:rPr>
          <w:rFonts w:hint="eastAsia"/>
          <w:lang w:val="en-US"/>
        </w:rPr>
        <w:t>5</w:t>
      </w:r>
      <w:r w:rsidR="008A06BF">
        <w:rPr>
          <w:rFonts w:hint="eastAsia"/>
          <w:lang w:val="en-US"/>
        </w:rPr>
        <w:t xml:space="preserve">, </w:t>
      </w:r>
      <w:r w:rsidR="008A06BF" w:rsidRPr="008A06BF">
        <w:rPr>
          <w:lang w:val="en-US"/>
        </w:rPr>
        <w:t>LS on R17 NR MG enhancements – Pre-configured MG</w:t>
      </w:r>
      <w:r w:rsidR="008A06BF">
        <w:rPr>
          <w:rFonts w:hint="eastAsia"/>
          <w:lang w:val="en-US"/>
        </w:rPr>
        <w:t xml:space="preserve">, </w:t>
      </w:r>
      <w:r w:rsidR="000058EE">
        <w:rPr>
          <w:rFonts w:hint="eastAsia"/>
          <w:lang w:val="en-US"/>
        </w:rPr>
        <w:t>Intel, RAN4#101</w:t>
      </w:r>
      <w:r w:rsidR="00E94954">
        <w:rPr>
          <w:rFonts w:hint="eastAsia"/>
          <w:lang w:val="en-US"/>
        </w:rPr>
        <w:t>bis-</w:t>
      </w:r>
      <w:r w:rsidR="000058EE">
        <w:rPr>
          <w:rFonts w:hint="eastAsia"/>
          <w:lang w:val="en-US"/>
        </w:rPr>
        <w:t>e</w:t>
      </w:r>
    </w:p>
    <w:p w:rsidR="00BA4360" w:rsidRPr="005C6CAD" w:rsidRDefault="00A67F76" w:rsidP="005C6CAD">
      <w:pPr>
        <w:numPr>
          <w:ilvl w:val="0"/>
          <w:numId w:val="3"/>
        </w:numPr>
        <w:tabs>
          <w:tab w:val="left" w:pos="360"/>
        </w:tabs>
        <w:spacing w:before="120" w:after="0"/>
        <w:jc w:val="both"/>
        <w:rPr>
          <w:lang w:val="en-US" w:eastAsia="zh-CN"/>
        </w:rPr>
      </w:pPr>
      <w:r w:rsidRPr="002E2DBF">
        <w:rPr>
          <w:lang w:val="en-US" w:eastAsia="zh-CN"/>
        </w:rPr>
        <w:t>3GPP TS 38.331</w:t>
      </w:r>
      <w:r>
        <w:rPr>
          <w:rFonts w:hint="eastAsia"/>
          <w:lang w:val="en-US" w:eastAsia="zh-CN"/>
        </w:rPr>
        <w:t xml:space="preserve"> </w:t>
      </w:r>
      <w:r>
        <w:rPr>
          <w:lang w:val="en-US" w:eastAsia="zh-CN"/>
        </w:rPr>
        <w:t>“</w:t>
      </w:r>
      <w:r w:rsidRPr="002E2DBF">
        <w:rPr>
          <w:lang w:val="en-US" w:eastAsia="zh-CN"/>
        </w:rPr>
        <w:t>NR;</w:t>
      </w:r>
      <w:r>
        <w:rPr>
          <w:rFonts w:hint="eastAsia"/>
          <w:lang w:val="en-US" w:eastAsia="zh-CN"/>
        </w:rPr>
        <w:t xml:space="preserve"> </w:t>
      </w:r>
      <w:r w:rsidRPr="002E2DBF">
        <w:rPr>
          <w:lang w:val="en-US" w:eastAsia="zh-CN"/>
        </w:rPr>
        <w:t>Radio Resource Control (RRC) protocol specification”</w:t>
      </w:r>
      <w:r>
        <w:rPr>
          <w:rFonts w:hint="eastAsia"/>
          <w:lang w:val="en-US" w:eastAsia="zh-CN"/>
        </w:rPr>
        <w:t xml:space="preserve"> </w:t>
      </w:r>
    </w:p>
    <w:sectPr w:rsidR="00BA4360" w:rsidRPr="005C6CAD">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3A7" w:rsidRDefault="00B423A7">
      <w:r>
        <w:separator/>
      </w:r>
    </w:p>
  </w:endnote>
  <w:endnote w:type="continuationSeparator" w:id="0">
    <w:p w:rsidR="00B423A7" w:rsidRDefault="00B42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n-ea">
    <w:altName w:val="Segoe Print"/>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586A" w:rsidRDefault="00E1586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3A7" w:rsidRDefault="00B423A7">
      <w:r>
        <w:separator/>
      </w:r>
    </w:p>
  </w:footnote>
  <w:footnote w:type="continuationSeparator" w:id="0">
    <w:p w:rsidR="00B423A7" w:rsidRDefault="00B42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515B4"/>
    <w:multiLevelType w:val="hybridMultilevel"/>
    <w:tmpl w:val="AC1EA20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B12832"/>
    <w:multiLevelType w:val="multilevel"/>
    <w:tmpl w:val="29B128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B825C14"/>
    <w:multiLevelType w:val="hybridMultilevel"/>
    <w:tmpl w:val="36E8E6FE"/>
    <w:lvl w:ilvl="0" w:tplc="A934B8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A934B8A2">
      <w:start w:val="1"/>
      <w:numFmt w:val="bullet"/>
      <w:lvlText w:val="•"/>
      <w:lvlJc w:val="left"/>
      <w:pPr>
        <w:ind w:left="1260" w:hanging="420"/>
      </w:pPr>
      <w:rPr>
        <w:rFonts w:ascii="Arial" w:hAnsi="Arial" w:hint="default"/>
      </w:rPr>
    </w:lvl>
    <w:lvl w:ilvl="3" w:tplc="B31A5CE6">
      <w:start w:val="1"/>
      <w:numFmt w:val="bullet"/>
      <w:lvlText w:val="▪"/>
      <w:lvlJc w:val="left"/>
      <w:pPr>
        <w:ind w:left="1680" w:hanging="420"/>
      </w:pPr>
      <w:rPr>
        <w:rFonts w:ascii="Calibri" w:hAnsi="Calibri" w:hint="default"/>
      </w:rPr>
    </w:lvl>
    <w:lvl w:ilvl="4" w:tplc="B31A5CE6">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3D360C"/>
    <w:multiLevelType w:val="hybridMultilevel"/>
    <w:tmpl w:val="518E1936"/>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05B2014"/>
    <w:multiLevelType w:val="hybridMultilevel"/>
    <w:tmpl w:val="C9FAF48E"/>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3">
    <w:nsid w:val="536B7086"/>
    <w:multiLevelType w:val="multilevel"/>
    <w:tmpl w:val="32F6849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AA82B9C"/>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5">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15"/>
  </w:num>
  <w:num w:numId="6">
    <w:abstractNumId w:val="13"/>
  </w:num>
  <w:num w:numId="7">
    <w:abstractNumId w:val="10"/>
  </w:num>
  <w:num w:numId="8">
    <w:abstractNumId w:val="14"/>
  </w:num>
  <w:num w:numId="9">
    <w:abstractNumId w:val="6"/>
  </w:num>
  <w:num w:numId="10">
    <w:abstractNumId w:val="4"/>
  </w:num>
  <w:num w:numId="11">
    <w:abstractNumId w:val="8"/>
  </w:num>
  <w:num w:numId="12">
    <w:abstractNumId w:val="2"/>
  </w:num>
  <w:num w:numId="13">
    <w:abstractNumId w:val="9"/>
  </w:num>
  <w:num w:numId="14">
    <w:abstractNumId w:val="3"/>
  </w:num>
  <w:num w:numId="15">
    <w:abstractNumId w:val="7"/>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63F"/>
    <w:rsid w:val="00000C38"/>
    <w:rsid w:val="00001845"/>
    <w:rsid w:val="00001BD8"/>
    <w:rsid w:val="000025B8"/>
    <w:rsid w:val="00002ACC"/>
    <w:rsid w:val="00002E05"/>
    <w:rsid w:val="00003660"/>
    <w:rsid w:val="000047C9"/>
    <w:rsid w:val="00004D73"/>
    <w:rsid w:val="00005063"/>
    <w:rsid w:val="000051AF"/>
    <w:rsid w:val="000058EE"/>
    <w:rsid w:val="00005AD7"/>
    <w:rsid w:val="000062AE"/>
    <w:rsid w:val="00006E2E"/>
    <w:rsid w:val="00006EA3"/>
    <w:rsid w:val="000101F9"/>
    <w:rsid w:val="00010E63"/>
    <w:rsid w:val="00011828"/>
    <w:rsid w:val="00011D5E"/>
    <w:rsid w:val="000124CB"/>
    <w:rsid w:val="0001374E"/>
    <w:rsid w:val="00014A77"/>
    <w:rsid w:val="00014AC9"/>
    <w:rsid w:val="000150B3"/>
    <w:rsid w:val="00015E1E"/>
    <w:rsid w:val="00016509"/>
    <w:rsid w:val="00016A5E"/>
    <w:rsid w:val="00017759"/>
    <w:rsid w:val="00017C52"/>
    <w:rsid w:val="00020294"/>
    <w:rsid w:val="00020DA7"/>
    <w:rsid w:val="00021378"/>
    <w:rsid w:val="000217C3"/>
    <w:rsid w:val="00023D1F"/>
    <w:rsid w:val="00023D83"/>
    <w:rsid w:val="00023FF9"/>
    <w:rsid w:val="000244C4"/>
    <w:rsid w:val="0002482A"/>
    <w:rsid w:val="000270A9"/>
    <w:rsid w:val="000279C4"/>
    <w:rsid w:val="00030A5F"/>
    <w:rsid w:val="00031366"/>
    <w:rsid w:val="000314B9"/>
    <w:rsid w:val="00031509"/>
    <w:rsid w:val="00033B63"/>
    <w:rsid w:val="00034B44"/>
    <w:rsid w:val="00035AD0"/>
    <w:rsid w:val="00035FDE"/>
    <w:rsid w:val="0003630E"/>
    <w:rsid w:val="00036439"/>
    <w:rsid w:val="000374B0"/>
    <w:rsid w:val="00037FAF"/>
    <w:rsid w:val="000403AB"/>
    <w:rsid w:val="0004092A"/>
    <w:rsid w:val="00040E82"/>
    <w:rsid w:val="00040ED9"/>
    <w:rsid w:val="0004165F"/>
    <w:rsid w:val="00041BC4"/>
    <w:rsid w:val="00043645"/>
    <w:rsid w:val="000440FD"/>
    <w:rsid w:val="000454EB"/>
    <w:rsid w:val="00045905"/>
    <w:rsid w:val="00045B0C"/>
    <w:rsid w:val="00045D62"/>
    <w:rsid w:val="00046B06"/>
    <w:rsid w:val="00046B14"/>
    <w:rsid w:val="00046B3D"/>
    <w:rsid w:val="000470A9"/>
    <w:rsid w:val="0005062A"/>
    <w:rsid w:val="00050E22"/>
    <w:rsid w:val="00051213"/>
    <w:rsid w:val="00051BD5"/>
    <w:rsid w:val="00052192"/>
    <w:rsid w:val="000526E4"/>
    <w:rsid w:val="000532B0"/>
    <w:rsid w:val="00053605"/>
    <w:rsid w:val="00053D6F"/>
    <w:rsid w:val="00053DFF"/>
    <w:rsid w:val="00053E4B"/>
    <w:rsid w:val="00053F4F"/>
    <w:rsid w:val="00054263"/>
    <w:rsid w:val="000542EB"/>
    <w:rsid w:val="000546C3"/>
    <w:rsid w:val="00054A7F"/>
    <w:rsid w:val="00054C90"/>
    <w:rsid w:val="0005640B"/>
    <w:rsid w:val="00057801"/>
    <w:rsid w:val="000579FC"/>
    <w:rsid w:val="00060586"/>
    <w:rsid w:val="000608C9"/>
    <w:rsid w:val="00060D43"/>
    <w:rsid w:val="00060E45"/>
    <w:rsid w:val="00061385"/>
    <w:rsid w:val="0006185D"/>
    <w:rsid w:val="00061E69"/>
    <w:rsid w:val="00062479"/>
    <w:rsid w:val="00062B74"/>
    <w:rsid w:val="00062C76"/>
    <w:rsid w:val="000639CC"/>
    <w:rsid w:val="00063E03"/>
    <w:rsid w:val="00064334"/>
    <w:rsid w:val="0006459A"/>
    <w:rsid w:val="00064858"/>
    <w:rsid w:val="00065C1E"/>
    <w:rsid w:val="00065FE1"/>
    <w:rsid w:val="00066715"/>
    <w:rsid w:val="000707A2"/>
    <w:rsid w:val="00070DF9"/>
    <w:rsid w:val="00070EA7"/>
    <w:rsid w:val="00071C1C"/>
    <w:rsid w:val="00071F3B"/>
    <w:rsid w:val="000730E3"/>
    <w:rsid w:val="0007423F"/>
    <w:rsid w:val="00074971"/>
    <w:rsid w:val="00074BC2"/>
    <w:rsid w:val="00075A8A"/>
    <w:rsid w:val="0007600C"/>
    <w:rsid w:val="000776F4"/>
    <w:rsid w:val="00081A16"/>
    <w:rsid w:val="00083FFB"/>
    <w:rsid w:val="000847D2"/>
    <w:rsid w:val="00084AD3"/>
    <w:rsid w:val="00084BF6"/>
    <w:rsid w:val="0008537B"/>
    <w:rsid w:val="000853F2"/>
    <w:rsid w:val="0008604D"/>
    <w:rsid w:val="00086E35"/>
    <w:rsid w:val="00087146"/>
    <w:rsid w:val="000874A0"/>
    <w:rsid w:val="0008772C"/>
    <w:rsid w:val="00090708"/>
    <w:rsid w:val="000908F0"/>
    <w:rsid w:val="000913A9"/>
    <w:rsid w:val="00092517"/>
    <w:rsid w:val="0009258C"/>
    <w:rsid w:val="00092EFE"/>
    <w:rsid w:val="00093DF8"/>
    <w:rsid w:val="000943AD"/>
    <w:rsid w:val="00095A50"/>
    <w:rsid w:val="000962DC"/>
    <w:rsid w:val="00096AEC"/>
    <w:rsid w:val="0009736B"/>
    <w:rsid w:val="00097812"/>
    <w:rsid w:val="000A05CE"/>
    <w:rsid w:val="000A067F"/>
    <w:rsid w:val="000A0738"/>
    <w:rsid w:val="000A0AD4"/>
    <w:rsid w:val="000A2318"/>
    <w:rsid w:val="000A2788"/>
    <w:rsid w:val="000A2D09"/>
    <w:rsid w:val="000A3639"/>
    <w:rsid w:val="000A3CA4"/>
    <w:rsid w:val="000A4844"/>
    <w:rsid w:val="000A48CE"/>
    <w:rsid w:val="000A5A4A"/>
    <w:rsid w:val="000A5C53"/>
    <w:rsid w:val="000A6F7D"/>
    <w:rsid w:val="000A7396"/>
    <w:rsid w:val="000A769F"/>
    <w:rsid w:val="000A7BEF"/>
    <w:rsid w:val="000B0C01"/>
    <w:rsid w:val="000B0D62"/>
    <w:rsid w:val="000B119B"/>
    <w:rsid w:val="000B22EE"/>
    <w:rsid w:val="000B26BD"/>
    <w:rsid w:val="000B28A5"/>
    <w:rsid w:val="000B3288"/>
    <w:rsid w:val="000B47D1"/>
    <w:rsid w:val="000B4CE9"/>
    <w:rsid w:val="000B51BA"/>
    <w:rsid w:val="000B5238"/>
    <w:rsid w:val="000B5F1C"/>
    <w:rsid w:val="000B6E8A"/>
    <w:rsid w:val="000B78F0"/>
    <w:rsid w:val="000C0216"/>
    <w:rsid w:val="000C05F5"/>
    <w:rsid w:val="000C0E8B"/>
    <w:rsid w:val="000C1358"/>
    <w:rsid w:val="000C1957"/>
    <w:rsid w:val="000C24F1"/>
    <w:rsid w:val="000C3080"/>
    <w:rsid w:val="000C362C"/>
    <w:rsid w:val="000C3782"/>
    <w:rsid w:val="000C3A92"/>
    <w:rsid w:val="000C4105"/>
    <w:rsid w:val="000C42A5"/>
    <w:rsid w:val="000C54D4"/>
    <w:rsid w:val="000C58C4"/>
    <w:rsid w:val="000C5F0D"/>
    <w:rsid w:val="000C6901"/>
    <w:rsid w:val="000C7B3F"/>
    <w:rsid w:val="000C7E45"/>
    <w:rsid w:val="000D0C71"/>
    <w:rsid w:val="000D13D1"/>
    <w:rsid w:val="000D14CB"/>
    <w:rsid w:val="000D2793"/>
    <w:rsid w:val="000D2927"/>
    <w:rsid w:val="000D3465"/>
    <w:rsid w:val="000D3D6E"/>
    <w:rsid w:val="000D4F6C"/>
    <w:rsid w:val="000D5A76"/>
    <w:rsid w:val="000D5CBC"/>
    <w:rsid w:val="000D5EF5"/>
    <w:rsid w:val="000D61DE"/>
    <w:rsid w:val="000D6A9F"/>
    <w:rsid w:val="000E0C45"/>
    <w:rsid w:val="000E0D2C"/>
    <w:rsid w:val="000E108E"/>
    <w:rsid w:val="000E1572"/>
    <w:rsid w:val="000E1775"/>
    <w:rsid w:val="000E237A"/>
    <w:rsid w:val="000E26FB"/>
    <w:rsid w:val="000E28A8"/>
    <w:rsid w:val="000E48C6"/>
    <w:rsid w:val="000E4CEF"/>
    <w:rsid w:val="000E558E"/>
    <w:rsid w:val="000E63B4"/>
    <w:rsid w:val="000E671F"/>
    <w:rsid w:val="000E67E5"/>
    <w:rsid w:val="000E695E"/>
    <w:rsid w:val="000F0D2C"/>
    <w:rsid w:val="000F0DC1"/>
    <w:rsid w:val="000F0F34"/>
    <w:rsid w:val="000F152F"/>
    <w:rsid w:val="000F30CA"/>
    <w:rsid w:val="000F3956"/>
    <w:rsid w:val="000F41FA"/>
    <w:rsid w:val="000F4862"/>
    <w:rsid w:val="000F4FB2"/>
    <w:rsid w:val="000F5559"/>
    <w:rsid w:val="000F5972"/>
    <w:rsid w:val="000F5D40"/>
    <w:rsid w:val="000F6527"/>
    <w:rsid w:val="000F6952"/>
    <w:rsid w:val="0010027E"/>
    <w:rsid w:val="0010383F"/>
    <w:rsid w:val="00104CF4"/>
    <w:rsid w:val="00104DEA"/>
    <w:rsid w:val="00106112"/>
    <w:rsid w:val="00106586"/>
    <w:rsid w:val="00106CB1"/>
    <w:rsid w:val="0010791F"/>
    <w:rsid w:val="00107E28"/>
    <w:rsid w:val="00110491"/>
    <w:rsid w:val="0011135B"/>
    <w:rsid w:val="00111600"/>
    <w:rsid w:val="00111869"/>
    <w:rsid w:val="00111980"/>
    <w:rsid w:val="00111CD3"/>
    <w:rsid w:val="00111ED9"/>
    <w:rsid w:val="0011291B"/>
    <w:rsid w:val="00113F53"/>
    <w:rsid w:val="001144D4"/>
    <w:rsid w:val="00114EAB"/>
    <w:rsid w:val="00115C80"/>
    <w:rsid w:val="001165D1"/>
    <w:rsid w:val="00116C8E"/>
    <w:rsid w:val="00120291"/>
    <w:rsid w:val="0012110B"/>
    <w:rsid w:val="0012110E"/>
    <w:rsid w:val="001229E3"/>
    <w:rsid w:val="00123245"/>
    <w:rsid w:val="00123827"/>
    <w:rsid w:val="00123E01"/>
    <w:rsid w:val="00124276"/>
    <w:rsid w:val="00124E11"/>
    <w:rsid w:val="00124F36"/>
    <w:rsid w:val="00124FCE"/>
    <w:rsid w:val="001253EC"/>
    <w:rsid w:val="001254B1"/>
    <w:rsid w:val="00125825"/>
    <w:rsid w:val="00127995"/>
    <w:rsid w:val="001309BB"/>
    <w:rsid w:val="00130B1C"/>
    <w:rsid w:val="00130B39"/>
    <w:rsid w:val="0013267C"/>
    <w:rsid w:val="00132C34"/>
    <w:rsid w:val="001346AD"/>
    <w:rsid w:val="00134EE4"/>
    <w:rsid w:val="00135552"/>
    <w:rsid w:val="00135844"/>
    <w:rsid w:val="00135ADE"/>
    <w:rsid w:val="00136013"/>
    <w:rsid w:val="0013655C"/>
    <w:rsid w:val="00136B22"/>
    <w:rsid w:val="00136B40"/>
    <w:rsid w:val="00136E8D"/>
    <w:rsid w:val="001375BC"/>
    <w:rsid w:val="00137FEA"/>
    <w:rsid w:val="001400AE"/>
    <w:rsid w:val="001402A2"/>
    <w:rsid w:val="001405BD"/>
    <w:rsid w:val="00140E4A"/>
    <w:rsid w:val="00141553"/>
    <w:rsid w:val="00142058"/>
    <w:rsid w:val="00142665"/>
    <w:rsid w:val="001428E6"/>
    <w:rsid w:val="00142A57"/>
    <w:rsid w:val="001430B8"/>
    <w:rsid w:val="00143293"/>
    <w:rsid w:val="0014373B"/>
    <w:rsid w:val="001439C5"/>
    <w:rsid w:val="00143D33"/>
    <w:rsid w:val="001446B5"/>
    <w:rsid w:val="00144A4E"/>
    <w:rsid w:val="00145047"/>
    <w:rsid w:val="00145D24"/>
    <w:rsid w:val="00146498"/>
    <w:rsid w:val="00146B20"/>
    <w:rsid w:val="00146E26"/>
    <w:rsid w:val="00147009"/>
    <w:rsid w:val="001470AF"/>
    <w:rsid w:val="001470EC"/>
    <w:rsid w:val="001470F1"/>
    <w:rsid w:val="0014733C"/>
    <w:rsid w:val="00147767"/>
    <w:rsid w:val="00150780"/>
    <w:rsid w:val="00150D6C"/>
    <w:rsid w:val="0015119C"/>
    <w:rsid w:val="0015164D"/>
    <w:rsid w:val="001527B8"/>
    <w:rsid w:val="0015298D"/>
    <w:rsid w:val="00152C5A"/>
    <w:rsid w:val="00152FEE"/>
    <w:rsid w:val="001530E5"/>
    <w:rsid w:val="00153382"/>
    <w:rsid w:val="00153453"/>
    <w:rsid w:val="00153721"/>
    <w:rsid w:val="00154216"/>
    <w:rsid w:val="00154E06"/>
    <w:rsid w:val="00154E54"/>
    <w:rsid w:val="00154FD8"/>
    <w:rsid w:val="0015557E"/>
    <w:rsid w:val="00155585"/>
    <w:rsid w:val="00155B73"/>
    <w:rsid w:val="0015631F"/>
    <w:rsid w:val="00156E66"/>
    <w:rsid w:val="00156F1D"/>
    <w:rsid w:val="00157C8D"/>
    <w:rsid w:val="00157DA6"/>
    <w:rsid w:val="00157F4E"/>
    <w:rsid w:val="00160FF6"/>
    <w:rsid w:val="001610F1"/>
    <w:rsid w:val="00162B33"/>
    <w:rsid w:val="00162C05"/>
    <w:rsid w:val="00162C5A"/>
    <w:rsid w:val="00163741"/>
    <w:rsid w:val="00163F8B"/>
    <w:rsid w:val="001641D5"/>
    <w:rsid w:val="0016492E"/>
    <w:rsid w:val="00165123"/>
    <w:rsid w:val="00165190"/>
    <w:rsid w:val="00165194"/>
    <w:rsid w:val="001651B6"/>
    <w:rsid w:val="001672DC"/>
    <w:rsid w:val="001672E6"/>
    <w:rsid w:val="001675B5"/>
    <w:rsid w:val="00167616"/>
    <w:rsid w:val="0016770D"/>
    <w:rsid w:val="0017013D"/>
    <w:rsid w:val="0017022E"/>
    <w:rsid w:val="001709C4"/>
    <w:rsid w:val="0017117D"/>
    <w:rsid w:val="00172990"/>
    <w:rsid w:val="001735C2"/>
    <w:rsid w:val="001750CD"/>
    <w:rsid w:val="00175612"/>
    <w:rsid w:val="001769D3"/>
    <w:rsid w:val="00177076"/>
    <w:rsid w:val="00177D51"/>
    <w:rsid w:val="00181002"/>
    <w:rsid w:val="00181649"/>
    <w:rsid w:val="00181BEC"/>
    <w:rsid w:val="00181E87"/>
    <w:rsid w:val="00182B75"/>
    <w:rsid w:val="00182D37"/>
    <w:rsid w:val="0018340D"/>
    <w:rsid w:val="00183782"/>
    <w:rsid w:val="00183D7E"/>
    <w:rsid w:val="00183FEA"/>
    <w:rsid w:val="001844EB"/>
    <w:rsid w:val="00184D32"/>
    <w:rsid w:val="00185128"/>
    <w:rsid w:val="00185C8E"/>
    <w:rsid w:val="00185DC1"/>
    <w:rsid w:val="00185FB4"/>
    <w:rsid w:val="0018602D"/>
    <w:rsid w:val="001867DE"/>
    <w:rsid w:val="00186FFF"/>
    <w:rsid w:val="0018703C"/>
    <w:rsid w:val="0018752C"/>
    <w:rsid w:val="0018791D"/>
    <w:rsid w:val="00187D90"/>
    <w:rsid w:val="00187F13"/>
    <w:rsid w:val="001911CC"/>
    <w:rsid w:val="0019167A"/>
    <w:rsid w:val="00192560"/>
    <w:rsid w:val="001942D1"/>
    <w:rsid w:val="001943E5"/>
    <w:rsid w:val="00194716"/>
    <w:rsid w:val="00194F2B"/>
    <w:rsid w:val="00195AB4"/>
    <w:rsid w:val="00195DE6"/>
    <w:rsid w:val="00195E8A"/>
    <w:rsid w:val="00196945"/>
    <w:rsid w:val="00197276"/>
    <w:rsid w:val="00197880"/>
    <w:rsid w:val="001979CD"/>
    <w:rsid w:val="00197C07"/>
    <w:rsid w:val="001A14F7"/>
    <w:rsid w:val="001A3425"/>
    <w:rsid w:val="001A39EC"/>
    <w:rsid w:val="001A3CD5"/>
    <w:rsid w:val="001A3E41"/>
    <w:rsid w:val="001A490C"/>
    <w:rsid w:val="001A4E94"/>
    <w:rsid w:val="001A52AF"/>
    <w:rsid w:val="001A6C50"/>
    <w:rsid w:val="001A7125"/>
    <w:rsid w:val="001A733B"/>
    <w:rsid w:val="001B0918"/>
    <w:rsid w:val="001B249D"/>
    <w:rsid w:val="001B2AD7"/>
    <w:rsid w:val="001B32B4"/>
    <w:rsid w:val="001B37A6"/>
    <w:rsid w:val="001B3C6D"/>
    <w:rsid w:val="001B3D54"/>
    <w:rsid w:val="001B538C"/>
    <w:rsid w:val="001B54ED"/>
    <w:rsid w:val="001B6B7B"/>
    <w:rsid w:val="001B70B3"/>
    <w:rsid w:val="001B73FD"/>
    <w:rsid w:val="001C029E"/>
    <w:rsid w:val="001C1C99"/>
    <w:rsid w:val="001C29B4"/>
    <w:rsid w:val="001C29E5"/>
    <w:rsid w:val="001C41B8"/>
    <w:rsid w:val="001C4306"/>
    <w:rsid w:val="001C4CAB"/>
    <w:rsid w:val="001C4F1D"/>
    <w:rsid w:val="001C53A3"/>
    <w:rsid w:val="001C548B"/>
    <w:rsid w:val="001C5EB9"/>
    <w:rsid w:val="001C68BB"/>
    <w:rsid w:val="001C7720"/>
    <w:rsid w:val="001D018C"/>
    <w:rsid w:val="001D0923"/>
    <w:rsid w:val="001D0EF4"/>
    <w:rsid w:val="001D0FF3"/>
    <w:rsid w:val="001D1716"/>
    <w:rsid w:val="001D1C87"/>
    <w:rsid w:val="001D20F0"/>
    <w:rsid w:val="001D23A9"/>
    <w:rsid w:val="001D2702"/>
    <w:rsid w:val="001D30E4"/>
    <w:rsid w:val="001D3334"/>
    <w:rsid w:val="001D36A3"/>
    <w:rsid w:val="001D481A"/>
    <w:rsid w:val="001D5745"/>
    <w:rsid w:val="001D5F10"/>
    <w:rsid w:val="001D690E"/>
    <w:rsid w:val="001D6C10"/>
    <w:rsid w:val="001D7752"/>
    <w:rsid w:val="001D7ABA"/>
    <w:rsid w:val="001E0882"/>
    <w:rsid w:val="001E0B64"/>
    <w:rsid w:val="001E1AD8"/>
    <w:rsid w:val="001E1B6B"/>
    <w:rsid w:val="001E1F53"/>
    <w:rsid w:val="001E28C9"/>
    <w:rsid w:val="001E2D52"/>
    <w:rsid w:val="001E3206"/>
    <w:rsid w:val="001E3B0B"/>
    <w:rsid w:val="001E3C61"/>
    <w:rsid w:val="001E3EF2"/>
    <w:rsid w:val="001E40AB"/>
    <w:rsid w:val="001E456A"/>
    <w:rsid w:val="001E4951"/>
    <w:rsid w:val="001E4DBB"/>
    <w:rsid w:val="001E6E3E"/>
    <w:rsid w:val="001E779F"/>
    <w:rsid w:val="001F0A1C"/>
    <w:rsid w:val="001F0ED6"/>
    <w:rsid w:val="001F1685"/>
    <w:rsid w:val="001F18CC"/>
    <w:rsid w:val="001F29FA"/>
    <w:rsid w:val="001F2EA7"/>
    <w:rsid w:val="001F2EFC"/>
    <w:rsid w:val="001F3621"/>
    <w:rsid w:val="001F3BE9"/>
    <w:rsid w:val="001F3F9A"/>
    <w:rsid w:val="001F42C8"/>
    <w:rsid w:val="001F4417"/>
    <w:rsid w:val="001F4697"/>
    <w:rsid w:val="001F4BB2"/>
    <w:rsid w:val="001F4F40"/>
    <w:rsid w:val="001F5023"/>
    <w:rsid w:val="001F5413"/>
    <w:rsid w:val="001F56A8"/>
    <w:rsid w:val="001F7044"/>
    <w:rsid w:val="001F7F8A"/>
    <w:rsid w:val="002014DD"/>
    <w:rsid w:val="00201609"/>
    <w:rsid w:val="0020180C"/>
    <w:rsid w:val="002019FB"/>
    <w:rsid w:val="00201D75"/>
    <w:rsid w:val="002025CE"/>
    <w:rsid w:val="002035AF"/>
    <w:rsid w:val="002037C5"/>
    <w:rsid w:val="00204358"/>
    <w:rsid w:val="00204E98"/>
    <w:rsid w:val="00205637"/>
    <w:rsid w:val="00205D57"/>
    <w:rsid w:val="00205D76"/>
    <w:rsid w:val="0020659F"/>
    <w:rsid w:val="002068B6"/>
    <w:rsid w:val="00206AC4"/>
    <w:rsid w:val="00206E5B"/>
    <w:rsid w:val="00207032"/>
    <w:rsid w:val="0020778B"/>
    <w:rsid w:val="00207C71"/>
    <w:rsid w:val="00207DB9"/>
    <w:rsid w:val="002102C3"/>
    <w:rsid w:val="002105AC"/>
    <w:rsid w:val="00210674"/>
    <w:rsid w:val="00210C25"/>
    <w:rsid w:val="00211010"/>
    <w:rsid w:val="00211CCD"/>
    <w:rsid w:val="00212151"/>
    <w:rsid w:val="00212EA6"/>
    <w:rsid w:val="00213777"/>
    <w:rsid w:val="00213DEB"/>
    <w:rsid w:val="00214B73"/>
    <w:rsid w:val="00214DB0"/>
    <w:rsid w:val="0021500C"/>
    <w:rsid w:val="00215103"/>
    <w:rsid w:val="0021593B"/>
    <w:rsid w:val="00215A5B"/>
    <w:rsid w:val="00215ED8"/>
    <w:rsid w:val="00216301"/>
    <w:rsid w:val="00216C00"/>
    <w:rsid w:val="002179BE"/>
    <w:rsid w:val="0022005D"/>
    <w:rsid w:val="0022058A"/>
    <w:rsid w:val="00221294"/>
    <w:rsid w:val="00221959"/>
    <w:rsid w:val="00222A3B"/>
    <w:rsid w:val="00222A51"/>
    <w:rsid w:val="00222AA8"/>
    <w:rsid w:val="00223436"/>
    <w:rsid w:val="00223B10"/>
    <w:rsid w:val="00223B49"/>
    <w:rsid w:val="00224441"/>
    <w:rsid w:val="0022568E"/>
    <w:rsid w:val="0022598A"/>
    <w:rsid w:val="00226024"/>
    <w:rsid w:val="002271C5"/>
    <w:rsid w:val="0023077B"/>
    <w:rsid w:val="00232C53"/>
    <w:rsid w:val="00232D8E"/>
    <w:rsid w:val="00232F76"/>
    <w:rsid w:val="00233B47"/>
    <w:rsid w:val="00233BCF"/>
    <w:rsid w:val="00234913"/>
    <w:rsid w:val="00234AE2"/>
    <w:rsid w:val="0023581A"/>
    <w:rsid w:val="00235C82"/>
    <w:rsid w:val="00236AAE"/>
    <w:rsid w:val="0023733A"/>
    <w:rsid w:val="00237469"/>
    <w:rsid w:val="0024033A"/>
    <w:rsid w:val="002411F5"/>
    <w:rsid w:val="0024233F"/>
    <w:rsid w:val="00242397"/>
    <w:rsid w:val="00242827"/>
    <w:rsid w:val="002431F4"/>
    <w:rsid w:val="002435F6"/>
    <w:rsid w:val="002447E1"/>
    <w:rsid w:val="00244A88"/>
    <w:rsid w:val="00244B51"/>
    <w:rsid w:val="00244DD5"/>
    <w:rsid w:val="002459C7"/>
    <w:rsid w:val="002471C8"/>
    <w:rsid w:val="00250304"/>
    <w:rsid w:val="00251501"/>
    <w:rsid w:val="002516C5"/>
    <w:rsid w:val="002519CF"/>
    <w:rsid w:val="002519FD"/>
    <w:rsid w:val="00251C57"/>
    <w:rsid w:val="00252178"/>
    <w:rsid w:val="00252907"/>
    <w:rsid w:val="002529FB"/>
    <w:rsid w:val="00252FC2"/>
    <w:rsid w:val="002542CE"/>
    <w:rsid w:val="002545B3"/>
    <w:rsid w:val="00255256"/>
    <w:rsid w:val="00256E04"/>
    <w:rsid w:val="00257C49"/>
    <w:rsid w:val="00257D54"/>
    <w:rsid w:val="00260A69"/>
    <w:rsid w:val="00260A7F"/>
    <w:rsid w:val="00261048"/>
    <w:rsid w:val="002610FA"/>
    <w:rsid w:val="0026120B"/>
    <w:rsid w:val="00263354"/>
    <w:rsid w:val="002636A2"/>
    <w:rsid w:val="00263C6E"/>
    <w:rsid w:val="002642A8"/>
    <w:rsid w:val="00265937"/>
    <w:rsid w:val="0026763E"/>
    <w:rsid w:val="002676B2"/>
    <w:rsid w:val="002678D2"/>
    <w:rsid w:val="00267BE3"/>
    <w:rsid w:val="00270239"/>
    <w:rsid w:val="0027031C"/>
    <w:rsid w:val="0027095F"/>
    <w:rsid w:val="00270E41"/>
    <w:rsid w:val="00271ACF"/>
    <w:rsid w:val="00271D45"/>
    <w:rsid w:val="00272256"/>
    <w:rsid w:val="00272259"/>
    <w:rsid w:val="002722C5"/>
    <w:rsid w:val="0027241D"/>
    <w:rsid w:val="002725A9"/>
    <w:rsid w:val="00272A40"/>
    <w:rsid w:val="0027376F"/>
    <w:rsid w:val="00273C91"/>
    <w:rsid w:val="00274EB3"/>
    <w:rsid w:val="00275561"/>
    <w:rsid w:val="00276237"/>
    <w:rsid w:val="00276A2B"/>
    <w:rsid w:val="00276B89"/>
    <w:rsid w:val="00277A00"/>
    <w:rsid w:val="00277A44"/>
    <w:rsid w:val="00277CC2"/>
    <w:rsid w:val="00277E90"/>
    <w:rsid w:val="002803CF"/>
    <w:rsid w:val="00280A4C"/>
    <w:rsid w:val="00280F2E"/>
    <w:rsid w:val="002816A3"/>
    <w:rsid w:val="002816D9"/>
    <w:rsid w:val="00281F6B"/>
    <w:rsid w:val="00282366"/>
    <w:rsid w:val="00283976"/>
    <w:rsid w:val="002850C5"/>
    <w:rsid w:val="00285DAB"/>
    <w:rsid w:val="00286B08"/>
    <w:rsid w:val="00286E24"/>
    <w:rsid w:val="00286FA7"/>
    <w:rsid w:val="002903A1"/>
    <w:rsid w:val="0029073F"/>
    <w:rsid w:val="002907B6"/>
    <w:rsid w:val="0029175B"/>
    <w:rsid w:val="00291B8A"/>
    <w:rsid w:val="002921DD"/>
    <w:rsid w:val="0029229C"/>
    <w:rsid w:val="00292C51"/>
    <w:rsid w:val="0029335A"/>
    <w:rsid w:val="0029356B"/>
    <w:rsid w:val="002937E8"/>
    <w:rsid w:val="0029385D"/>
    <w:rsid w:val="0029390E"/>
    <w:rsid w:val="002946D9"/>
    <w:rsid w:val="00294B74"/>
    <w:rsid w:val="00294DBA"/>
    <w:rsid w:val="00295694"/>
    <w:rsid w:val="00295B70"/>
    <w:rsid w:val="0029625A"/>
    <w:rsid w:val="002962B0"/>
    <w:rsid w:val="00297212"/>
    <w:rsid w:val="002A02F3"/>
    <w:rsid w:val="002A03CF"/>
    <w:rsid w:val="002A0A0B"/>
    <w:rsid w:val="002A0EF8"/>
    <w:rsid w:val="002A2095"/>
    <w:rsid w:val="002A34CB"/>
    <w:rsid w:val="002A3BA6"/>
    <w:rsid w:val="002A49F9"/>
    <w:rsid w:val="002A5FBA"/>
    <w:rsid w:val="002A75E3"/>
    <w:rsid w:val="002A76AC"/>
    <w:rsid w:val="002A7795"/>
    <w:rsid w:val="002A7D38"/>
    <w:rsid w:val="002A7EA3"/>
    <w:rsid w:val="002B0120"/>
    <w:rsid w:val="002B0138"/>
    <w:rsid w:val="002B1993"/>
    <w:rsid w:val="002B20E3"/>
    <w:rsid w:val="002B2597"/>
    <w:rsid w:val="002B3DB9"/>
    <w:rsid w:val="002B40EC"/>
    <w:rsid w:val="002B4DB1"/>
    <w:rsid w:val="002B513B"/>
    <w:rsid w:val="002B6197"/>
    <w:rsid w:val="002B623D"/>
    <w:rsid w:val="002B63E7"/>
    <w:rsid w:val="002B7132"/>
    <w:rsid w:val="002B73BF"/>
    <w:rsid w:val="002B7CC6"/>
    <w:rsid w:val="002C01F8"/>
    <w:rsid w:val="002C0B50"/>
    <w:rsid w:val="002C10DD"/>
    <w:rsid w:val="002C1F6F"/>
    <w:rsid w:val="002C2329"/>
    <w:rsid w:val="002C365C"/>
    <w:rsid w:val="002C3B8D"/>
    <w:rsid w:val="002C4503"/>
    <w:rsid w:val="002C4E12"/>
    <w:rsid w:val="002C4E85"/>
    <w:rsid w:val="002C4EAF"/>
    <w:rsid w:val="002C4EB9"/>
    <w:rsid w:val="002C5A43"/>
    <w:rsid w:val="002C5A5D"/>
    <w:rsid w:val="002C5B33"/>
    <w:rsid w:val="002C642A"/>
    <w:rsid w:val="002C66E8"/>
    <w:rsid w:val="002C6B88"/>
    <w:rsid w:val="002C7581"/>
    <w:rsid w:val="002C7B54"/>
    <w:rsid w:val="002D0011"/>
    <w:rsid w:val="002D0D10"/>
    <w:rsid w:val="002D1EF9"/>
    <w:rsid w:val="002D4316"/>
    <w:rsid w:val="002D5BE9"/>
    <w:rsid w:val="002D5F84"/>
    <w:rsid w:val="002D742C"/>
    <w:rsid w:val="002D7513"/>
    <w:rsid w:val="002D789D"/>
    <w:rsid w:val="002E0460"/>
    <w:rsid w:val="002E19FE"/>
    <w:rsid w:val="002E24AD"/>
    <w:rsid w:val="002E27E3"/>
    <w:rsid w:val="002E2823"/>
    <w:rsid w:val="002E2C76"/>
    <w:rsid w:val="002E2FC8"/>
    <w:rsid w:val="002E2FED"/>
    <w:rsid w:val="002E3D14"/>
    <w:rsid w:val="002E4173"/>
    <w:rsid w:val="002E4921"/>
    <w:rsid w:val="002E4FBD"/>
    <w:rsid w:val="002E53BC"/>
    <w:rsid w:val="002E54AC"/>
    <w:rsid w:val="002E6800"/>
    <w:rsid w:val="002E781E"/>
    <w:rsid w:val="002F0153"/>
    <w:rsid w:val="002F04EB"/>
    <w:rsid w:val="002F10DA"/>
    <w:rsid w:val="002F1457"/>
    <w:rsid w:val="002F3231"/>
    <w:rsid w:val="002F36DC"/>
    <w:rsid w:val="002F3DD8"/>
    <w:rsid w:val="002F4597"/>
    <w:rsid w:val="002F4896"/>
    <w:rsid w:val="002F4DB0"/>
    <w:rsid w:val="002F556D"/>
    <w:rsid w:val="002F55AC"/>
    <w:rsid w:val="002F5712"/>
    <w:rsid w:val="002F5ED1"/>
    <w:rsid w:val="002F703E"/>
    <w:rsid w:val="002F7659"/>
    <w:rsid w:val="002F7A6D"/>
    <w:rsid w:val="00300B51"/>
    <w:rsid w:val="00300DF6"/>
    <w:rsid w:val="0030188F"/>
    <w:rsid w:val="00301BD6"/>
    <w:rsid w:val="00302C22"/>
    <w:rsid w:val="00303416"/>
    <w:rsid w:val="00303ED0"/>
    <w:rsid w:val="00304554"/>
    <w:rsid w:val="00306145"/>
    <w:rsid w:val="00306A65"/>
    <w:rsid w:val="00306EEE"/>
    <w:rsid w:val="00307975"/>
    <w:rsid w:val="00307EE8"/>
    <w:rsid w:val="003120D9"/>
    <w:rsid w:val="00312331"/>
    <w:rsid w:val="0031254B"/>
    <w:rsid w:val="0031254C"/>
    <w:rsid w:val="003136F7"/>
    <w:rsid w:val="00313749"/>
    <w:rsid w:val="00313E96"/>
    <w:rsid w:val="003149DA"/>
    <w:rsid w:val="003151B8"/>
    <w:rsid w:val="003154DE"/>
    <w:rsid w:val="003155D8"/>
    <w:rsid w:val="003164F4"/>
    <w:rsid w:val="003172DD"/>
    <w:rsid w:val="00317C8A"/>
    <w:rsid w:val="003207E3"/>
    <w:rsid w:val="003208A0"/>
    <w:rsid w:val="003209F7"/>
    <w:rsid w:val="00320B3D"/>
    <w:rsid w:val="00322096"/>
    <w:rsid w:val="0032293D"/>
    <w:rsid w:val="0032319C"/>
    <w:rsid w:val="00323D06"/>
    <w:rsid w:val="00324408"/>
    <w:rsid w:val="00324932"/>
    <w:rsid w:val="00324BE0"/>
    <w:rsid w:val="00324C71"/>
    <w:rsid w:val="0032631F"/>
    <w:rsid w:val="00326BC7"/>
    <w:rsid w:val="0032738F"/>
    <w:rsid w:val="003300B0"/>
    <w:rsid w:val="003311C2"/>
    <w:rsid w:val="00331BC6"/>
    <w:rsid w:val="00331D5D"/>
    <w:rsid w:val="0033231A"/>
    <w:rsid w:val="00332C3C"/>
    <w:rsid w:val="003331E1"/>
    <w:rsid w:val="00333B15"/>
    <w:rsid w:val="0033430F"/>
    <w:rsid w:val="00335662"/>
    <w:rsid w:val="003357A8"/>
    <w:rsid w:val="003358C0"/>
    <w:rsid w:val="00336B92"/>
    <w:rsid w:val="003370DD"/>
    <w:rsid w:val="003374A8"/>
    <w:rsid w:val="003375EF"/>
    <w:rsid w:val="0034091A"/>
    <w:rsid w:val="003419C1"/>
    <w:rsid w:val="00341B8D"/>
    <w:rsid w:val="003424A4"/>
    <w:rsid w:val="003430AA"/>
    <w:rsid w:val="00343369"/>
    <w:rsid w:val="003439A8"/>
    <w:rsid w:val="00343BDC"/>
    <w:rsid w:val="00343FE0"/>
    <w:rsid w:val="00344748"/>
    <w:rsid w:val="003453FD"/>
    <w:rsid w:val="003459A8"/>
    <w:rsid w:val="00345CDB"/>
    <w:rsid w:val="00345EA2"/>
    <w:rsid w:val="003466D2"/>
    <w:rsid w:val="0034698B"/>
    <w:rsid w:val="00346B9D"/>
    <w:rsid w:val="00346CB3"/>
    <w:rsid w:val="003506C7"/>
    <w:rsid w:val="00350E23"/>
    <w:rsid w:val="00352376"/>
    <w:rsid w:val="0035240F"/>
    <w:rsid w:val="00352B43"/>
    <w:rsid w:val="00352BEE"/>
    <w:rsid w:val="0035339D"/>
    <w:rsid w:val="00355B4F"/>
    <w:rsid w:val="00355F75"/>
    <w:rsid w:val="003577A7"/>
    <w:rsid w:val="00360A7C"/>
    <w:rsid w:val="00361131"/>
    <w:rsid w:val="00361670"/>
    <w:rsid w:val="0036176D"/>
    <w:rsid w:val="0036183D"/>
    <w:rsid w:val="00361A82"/>
    <w:rsid w:val="0036309A"/>
    <w:rsid w:val="00363396"/>
    <w:rsid w:val="00363404"/>
    <w:rsid w:val="00363871"/>
    <w:rsid w:val="00363986"/>
    <w:rsid w:val="00363EB3"/>
    <w:rsid w:val="0036457E"/>
    <w:rsid w:val="0036465D"/>
    <w:rsid w:val="00364B95"/>
    <w:rsid w:val="00364C9F"/>
    <w:rsid w:val="003655F6"/>
    <w:rsid w:val="00365C08"/>
    <w:rsid w:val="003661FB"/>
    <w:rsid w:val="003663B8"/>
    <w:rsid w:val="00366AE4"/>
    <w:rsid w:val="00366E9F"/>
    <w:rsid w:val="0036796D"/>
    <w:rsid w:val="003726CF"/>
    <w:rsid w:val="003727E0"/>
    <w:rsid w:val="00372B69"/>
    <w:rsid w:val="00373334"/>
    <w:rsid w:val="003733B5"/>
    <w:rsid w:val="0037388D"/>
    <w:rsid w:val="00375D44"/>
    <w:rsid w:val="00375D81"/>
    <w:rsid w:val="00375F15"/>
    <w:rsid w:val="00376492"/>
    <w:rsid w:val="00376A18"/>
    <w:rsid w:val="00377170"/>
    <w:rsid w:val="00377B5C"/>
    <w:rsid w:val="00377D4E"/>
    <w:rsid w:val="00377DA8"/>
    <w:rsid w:val="00380148"/>
    <w:rsid w:val="003806E2"/>
    <w:rsid w:val="003808FE"/>
    <w:rsid w:val="00381115"/>
    <w:rsid w:val="003832B0"/>
    <w:rsid w:val="00383560"/>
    <w:rsid w:val="00383623"/>
    <w:rsid w:val="003837F6"/>
    <w:rsid w:val="00385F7D"/>
    <w:rsid w:val="0038609C"/>
    <w:rsid w:val="00386397"/>
    <w:rsid w:val="003867BF"/>
    <w:rsid w:val="00386CB7"/>
    <w:rsid w:val="0038735F"/>
    <w:rsid w:val="0038763B"/>
    <w:rsid w:val="003877E3"/>
    <w:rsid w:val="0038783F"/>
    <w:rsid w:val="00387A57"/>
    <w:rsid w:val="00387A5D"/>
    <w:rsid w:val="00390472"/>
    <w:rsid w:val="0039048D"/>
    <w:rsid w:val="00391BC2"/>
    <w:rsid w:val="00392224"/>
    <w:rsid w:val="003922D1"/>
    <w:rsid w:val="00392BF4"/>
    <w:rsid w:val="00392C88"/>
    <w:rsid w:val="0039300E"/>
    <w:rsid w:val="00393815"/>
    <w:rsid w:val="00394018"/>
    <w:rsid w:val="0039485C"/>
    <w:rsid w:val="00394C9D"/>
    <w:rsid w:val="00395141"/>
    <w:rsid w:val="003951F5"/>
    <w:rsid w:val="00396C26"/>
    <w:rsid w:val="00397361"/>
    <w:rsid w:val="003973A0"/>
    <w:rsid w:val="0039751C"/>
    <w:rsid w:val="003A06CF"/>
    <w:rsid w:val="003A139C"/>
    <w:rsid w:val="003A24A3"/>
    <w:rsid w:val="003A3579"/>
    <w:rsid w:val="003A38B9"/>
    <w:rsid w:val="003A3FB9"/>
    <w:rsid w:val="003A4643"/>
    <w:rsid w:val="003A4BE7"/>
    <w:rsid w:val="003A5337"/>
    <w:rsid w:val="003A57E9"/>
    <w:rsid w:val="003A5891"/>
    <w:rsid w:val="003A6595"/>
    <w:rsid w:val="003A689C"/>
    <w:rsid w:val="003A6F40"/>
    <w:rsid w:val="003A727F"/>
    <w:rsid w:val="003A7B6D"/>
    <w:rsid w:val="003B0143"/>
    <w:rsid w:val="003B0323"/>
    <w:rsid w:val="003B149B"/>
    <w:rsid w:val="003B1907"/>
    <w:rsid w:val="003B197A"/>
    <w:rsid w:val="003B1991"/>
    <w:rsid w:val="003B1F38"/>
    <w:rsid w:val="003B221F"/>
    <w:rsid w:val="003B4065"/>
    <w:rsid w:val="003B4798"/>
    <w:rsid w:val="003B49ED"/>
    <w:rsid w:val="003B4B3B"/>
    <w:rsid w:val="003B55F1"/>
    <w:rsid w:val="003B5FCA"/>
    <w:rsid w:val="003B6156"/>
    <w:rsid w:val="003B6457"/>
    <w:rsid w:val="003B6BFC"/>
    <w:rsid w:val="003B6DEE"/>
    <w:rsid w:val="003B6F69"/>
    <w:rsid w:val="003B7A50"/>
    <w:rsid w:val="003C0AAA"/>
    <w:rsid w:val="003C125B"/>
    <w:rsid w:val="003C1633"/>
    <w:rsid w:val="003C1ACD"/>
    <w:rsid w:val="003C1F4E"/>
    <w:rsid w:val="003C21D0"/>
    <w:rsid w:val="003C243C"/>
    <w:rsid w:val="003C4D2A"/>
    <w:rsid w:val="003C51F7"/>
    <w:rsid w:val="003C5F49"/>
    <w:rsid w:val="003C604B"/>
    <w:rsid w:val="003C6050"/>
    <w:rsid w:val="003C67FF"/>
    <w:rsid w:val="003C6813"/>
    <w:rsid w:val="003C6EBC"/>
    <w:rsid w:val="003C743C"/>
    <w:rsid w:val="003C783B"/>
    <w:rsid w:val="003C7AD7"/>
    <w:rsid w:val="003C7DA6"/>
    <w:rsid w:val="003D093C"/>
    <w:rsid w:val="003D0A16"/>
    <w:rsid w:val="003D0D2C"/>
    <w:rsid w:val="003D0E88"/>
    <w:rsid w:val="003D0F4F"/>
    <w:rsid w:val="003D1CCC"/>
    <w:rsid w:val="003D2344"/>
    <w:rsid w:val="003D2714"/>
    <w:rsid w:val="003D2A41"/>
    <w:rsid w:val="003D3A57"/>
    <w:rsid w:val="003D4831"/>
    <w:rsid w:val="003D59B7"/>
    <w:rsid w:val="003D609D"/>
    <w:rsid w:val="003D61EC"/>
    <w:rsid w:val="003D68FF"/>
    <w:rsid w:val="003E0998"/>
    <w:rsid w:val="003E099B"/>
    <w:rsid w:val="003E0C5E"/>
    <w:rsid w:val="003E0C94"/>
    <w:rsid w:val="003E0D73"/>
    <w:rsid w:val="003E13FE"/>
    <w:rsid w:val="003E1505"/>
    <w:rsid w:val="003E1681"/>
    <w:rsid w:val="003E18F2"/>
    <w:rsid w:val="003E1AE7"/>
    <w:rsid w:val="003E273C"/>
    <w:rsid w:val="003E2C93"/>
    <w:rsid w:val="003E3A19"/>
    <w:rsid w:val="003E453E"/>
    <w:rsid w:val="003E4542"/>
    <w:rsid w:val="003E463E"/>
    <w:rsid w:val="003E6298"/>
    <w:rsid w:val="003E67E4"/>
    <w:rsid w:val="003E757E"/>
    <w:rsid w:val="003F03AE"/>
    <w:rsid w:val="003F09D6"/>
    <w:rsid w:val="003F1608"/>
    <w:rsid w:val="003F1C82"/>
    <w:rsid w:val="003F219A"/>
    <w:rsid w:val="003F5543"/>
    <w:rsid w:val="003F5836"/>
    <w:rsid w:val="003F691B"/>
    <w:rsid w:val="003F719A"/>
    <w:rsid w:val="003F7465"/>
    <w:rsid w:val="003F7697"/>
    <w:rsid w:val="003F795B"/>
    <w:rsid w:val="004004CB"/>
    <w:rsid w:val="00400F2B"/>
    <w:rsid w:val="004011F6"/>
    <w:rsid w:val="00401656"/>
    <w:rsid w:val="00401C4C"/>
    <w:rsid w:val="00401CF4"/>
    <w:rsid w:val="00401E82"/>
    <w:rsid w:val="0040228D"/>
    <w:rsid w:val="004027B9"/>
    <w:rsid w:val="00402F6D"/>
    <w:rsid w:val="004036AA"/>
    <w:rsid w:val="004037C5"/>
    <w:rsid w:val="00403A21"/>
    <w:rsid w:val="004054DC"/>
    <w:rsid w:val="004102C5"/>
    <w:rsid w:val="00410AFD"/>
    <w:rsid w:val="00410F78"/>
    <w:rsid w:val="00411273"/>
    <w:rsid w:val="00411499"/>
    <w:rsid w:val="00413D8A"/>
    <w:rsid w:val="00413ECB"/>
    <w:rsid w:val="00413FC7"/>
    <w:rsid w:val="00414D92"/>
    <w:rsid w:val="00415A76"/>
    <w:rsid w:val="004173EC"/>
    <w:rsid w:val="0041762A"/>
    <w:rsid w:val="004206C9"/>
    <w:rsid w:val="00420D67"/>
    <w:rsid w:val="00421223"/>
    <w:rsid w:val="00421734"/>
    <w:rsid w:val="00421A57"/>
    <w:rsid w:val="00421E27"/>
    <w:rsid w:val="004224E2"/>
    <w:rsid w:val="0042364D"/>
    <w:rsid w:val="00424131"/>
    <w:rsid w:val="004241AD"/>
    <w:rsid w:val="004243D1"/>
    <w:rsid w:val="0042457A"/>
    <w:rsid w:val="004246CC"/>
    <w:rsid w:val="004248E9"/>
    <w:rsid w:val="0042610B"/>
    <w:rsid w:val="00426DB7"/>
    <w:rsid w:val="00427C86"/>
    <w:rsid w:val="004307B1"/>
    <w:rsid w:val="00431158"/>
    <w:rsid w:val="004318C7"/>
    <w:rsid w:val="00432570"/>
    <w:rsid w:val="0043296B"/>
    <w:rsid w:val="00433B9C"/>
    <w:rsid w:val="00434F14"/>
    <w:rsid w:val="004351D9"/>
    <w:rsid w:val="00435322"/>
    <w:rsid w:val="00435D7B"/>
    <w:rsid w:val="004365E4"/>
    <w:rsid w:val="0043751B"/>
    <w:rsid w:val="004400EE"/>
    <w:rsid w:val="004406AB"/>
    <w:rsid w:val="0044087A"/>
    <w:rsid w:val="00440B01"/>
    <w:rsid w:val="00441161"/>
    <w:rsid w:val="004420F5"/>
    <w:rsid w:val="00442165"/>
    <w:rsid w:val="004429BA"/>
    <w:rsid w:val="004439EA"/>
    <w:rsid w:val="00443C32"/>
    <w:rsid w:val="00444217"/>
    <w:rsid w:val="00444532"/>
    <w:rsid w:val="00444760"/>
    <w:rsid w:val="00444A27"/>
    <w:rsid w:val="0044541C"/>
    <w:rsid w:val="004464F0"/>
    <w:rsid w:val="004466A3"/>
    <w:rsid w:val="00446720"/>
    <w:rsid w:val="00446FCD"/>
    <w:rsid w:val="0044760C"/>
    <w:rsid w:val="004478DF"/>
    <w:rsid w:val="0045061C"/>
    <w:rsid w:val="0045091E"/>
    <w:rsid w:val="00451C3D"/>
    <w:rsid w:val="004521EF"/>
    <w:rsid w:val="004525E3"/>
    <w:rsid w:val="00453681"/>
    <w:rsid w:val="00454779"/>
    <w:rsid w:val="004549FA"/>
    <w:rsid w:val="00454CBD"/>
    <w:rsid w:val="004554BB"/>
    <w:rsid w:val="004554BC"/>
    <w:rsid w:val="00455E77"/>
    <w:rsid w:val="00455F29"/>
    <w:rsid w:val="004571C4"/>
    <w:rsid w:val="004572B5"/>
    <w:rsid w:val="0046044D"/>
    <w:rsid w:val="00460570"/>
    <w:rsid w:val="00461DB8"/>
    <w:rsid w:val="004620AB"/>
    <w:rsid w:val="00462A40"/>
    <w:rsid w:val="004633AE"/>
    <w:rsid w:val="00465220"/>
    <w:rsid w:val="00466AE7"/>
    <w:rsid w:val="00466BE0"/>
    <w:rsid w:val="00466D51"/>
    <w:rsid w:val="004672DE"/>
    <w:rsid w:val="0046756D"/>
    <w:rsid w:val="004677E9"/>
    <w:rsid w:val="0047023C"/>
    <w:rsid w:val="00471BE4"/>
    <w:rsid w:val="00471EAE"/>
    <w:rsid w:val="00472573"/>
    <w:rsid w:val="00473060"/>
    <w:rsid w:val="00473552"/>
    <w:rsid w:val="00473DB7"/>
    <w:rsid w:val="00474192"/>
    <w:rsid w:val="00474C78"/>
    <w:rsid w:val="00475075"/>
    <w:rsid w:val="00475870"/>
    <w:rsid w:val="00475A02"/>
    <w:rsid w:val="004768DB"/>
    <w:rsid w:val="004769C4"/>
    <w:rsid w:val="00476A1D"/>
    <w:rsid w:val="00477EED"/>
    <w:rsid w:val="00477F38"/>
    <w:rsid w:val="00480321"/>
    <w:rsid w:val="004803ED"/>
    <w:rsid w:val="00480DBD"/>
    <w:rsid w:val="00480EC4"/>
    <w:rsid w:val="004811C5"/>
    <w:rsid w:val="0048131C"/>
    <w:rsid w:val="00481CEB"/>
    <w:rsid w:val="004827B0"/>
    <w:rsid w:val="0048282B"/>
    <w:rsid w:val="00482B70"/>
    <w:rsid w:val="0048374E"/>
    <w:rsid w:val="00483EEA"/>
    <w:rsid w:val="004847BD"/>
    <w:rsid w:val="00484DD7"/>
    <w:rsid w:val="00484F40"/>
    <w:rsid w:val="00485244"/>
    <w:rsid w:val="00485534"/>
    <w:rsid w:val="00486DA0"/>
    <w:rsid w:val="00487A8C"/>
    <w:rsid w:val="00487B6E"/>
    <w:rsid w:val="00487CBD"/>
    <w:rsid w:val="00487D9C"/>
    <w:rsid w:val="00490303"/>
    <w:rsid w:val="0049056B"/>
    <w:rsid w:val="00490D7F"/>
    <w:rsid w:val="00490DCD"/>
    <w:rsid w:val="00491164"/>
    <w:rsid w:val="00491980"/>
    <w:rsid w:val="004930C9"/>
    <w:rsid w:val="00494E94"/>
    <w:rsid w:val="004951B1"/>
    <w:rsid w:val="0049553B"/>
    <w:rsid w:val="004958B9"/>
    <w:rsid w:val="0049645A"/>
    <w:rsid w:val="00496C93"/>
    <w:rsid w:val="004972F0"/>
    <w:rsid w:val="004978E6"/>
    <w:rsid w:val="004978F4"/>
    <w:rsid w:val="00497CFF"/>
    <w:rsid w:val="00497FAE"/>
    <w:rsid w:val="004A0714"/>
    <w:rsid w:val="004A0E6C"/>
    <w:rsid w:val="004A1866"/>
    <w:rsid w:val="004A1C94"/>
    <w:rsid w:val="004A233A"/>
    <w:rsid w:val="004A30B4"/>
    <w:rsid w:val="004A4A60"/>
    <w:rsid w:val="004A4E0B"/>
    <w:rsid w:val="004A4EE2"/>
    <w:rsid w:val="004A4FF5"/>
    <w:rsid w:val="004A5084"/>
    <w:rsid w:val="004A5A01"/>
    <w:rsid w:val="004A5E99"/>
    <w:rsid w:val="004A5F09"/>
    <w:rsid w:val="004A6DE8"/>
    <w:rsid w:val="004A7911"/>
    <w:rsid w:val="004B0116"/>
    <w:rsid w:val="004B0724"/>
    <w:rsid w:val="004B1A42"/>
    <w:rsid w:val="004B2569"/>
    <w:rsid w:val="004B2F0D"/>
    <w:rsid w:val="004B415E"/>
    <w:rsid w:val="004B546C"/>
    <w:rsid w:val="004B59EB"/>
    <w:rsid w:val="004B5B90"/>
    <w:rsid w:val="004B632F"/>
    <w:rsid w:val="004B6368"/>
    <w:rsid w:val="004B7D85"/>
    <w:rsid w:val="004B7FF8"/>
    <w:rsid w:val="004C02A9"/>
    <w:rsid w:val="004C04B8"/>
    <w:rsid w:val="004C0B83"/>
    <w:rsid w:val="004C1E80"/>
    <w:rsid w:val="004C2187"/>
    <w:rsid w:val="004C236F"/>
    <w:rsid w:val="004C2573"/>
    <w:rsid w:val="004C3C16"/>
    <w:rsid w:val="004C3F4A"/>
    <w:rsid w:val="004C4072"/>
    <w:rsid w:val="004C4726"/>
    <w:rsid w:val="004C4A33"/>
    <w:rsid w:val="004C54CD"/>
    <w:rsid w:val="004C5AB3"/>
    <w:rsid w:val="004C5D8E"/>
    <w:rsid w:val="004C5F3C"/>
    <w:rsid w:val="004C6849"/>
    <w:rsid w:val="004C6A4B"/>
    <w:rsid w:val="004D02B8"/>
    <w:rsid w:val="004D0469"/>
    <w:rsid w:val="004D0584"/>
    <w:rsid w:val="004D0912"/>
    <w:rsid w:val="004D1023"/>
    <w:rsid w:val="004D11AD"/>
    <w:rsid w:val="004D1529"/>
    <w:rsid w:val="004D2B36"/>
    <w:rsid w:val="004D769C"/>
    <w:rsid w:val="004D7EC3"/>
    <w:rsid w:val="004E08CB"/>
    <w:rsid w:val="004E1D58"/>
    <w:rsid w:val="004E3016"/>
    <w:rsid w:val="004E3158"/>
    <w:rsid w:val="004E31E3"/>
    <w:rsid w:val="004E335C"/>
    <w:rsid w:val="004E35B4"/>
    <w:rsid w:val="004E4488"/>
    <w:rsid w:val="004E4BAE"/>
    <w:rsid w:val="004E559C"/>
    <w:rsid w:val="004E657E"/>
    <w:rsid w:val="004E6DFB"/>
    <w:rsid w:val="004E7020"/>
    <w:rsid w:val="004E7CE6"/>
    <w:rsid w:val="004F0673"/>
    <w:rsid w:val="004F0C32"/>
    <w:rsid w:val="004F0C4B"/>
    <w:rsid w:val="004F0DC5"/>
    <w:rsid w:val="004F1B03"/>
    <w:rsid w:val="004F208E"/>
    <w:rsid w:val="004F229E"/>
    <w:rsid w:val="004F3235"/>
    <w:rsid w:val="004F36B7"/>
    <w:rsid w:val="004F3BCE"/>
    <w:rsid w:val="004F5166"/>
    <w:rsid w:val="004F6068"/>
    <w:rsid w:val="004F673A"/>
    <w:rsid w:val="004F7C26"/>
    <w:rsid w:val="004F7F95"/>
    <w:rsid w:val="005011AD"/>
    <w:rsid w:val="005012BE"/>
    <w:rsid w:val="00501404"/>
    <w:rsid w:val="0050144D"/>
    <w:rsid w:val="005016EA"/>
    <w:rsid w:val="00501EAA"/>
    <w:rsid w:val="00502FA4"/>
    <w:rsid w:val="0050325F"/>
    <w:rsid w:val="00503B97"/>
    <w:rsid w:val="00503EF1"/>
    <w:rsid w:val="00505A2B"/>
    <w:rsid w:val="00507001"/>
    <w:rsid w:val="00507922"/>
    <w:rsid w:val="00507BC2"/>
    <w:rsid w:val="00510B41"/>
    <w:rsid w:val="00510DD5"/>
    <w:rsid w:val="00510F49"/>
    <w:rsid w:val="00511CD5"/>
    <w:rsid w:val="00511F51"/>
    <w:rsid w:val="00512667"/>
    <w:rsid w:val="00512849"/>
    <w:rsid w:val="00512D9A"/>
    <w:rsid w:val="00512ECC"/>
    <w:rsid w:val="0051359B"/>
    <w:rsid w:val="00513761"/>
    <w:rsid w:val="00514223"/>
    <w:rsid w:val="0051541F"/>
    <w:rsid w:val="0051578D"/>
    <w:rsid w:val="00515C72"/>
    <w:rsid w:val="005167AD"/>
    <w:rsid w:val="00516AAB"/>
    <w:rsid w:val="00516D6F"/>
    <w:rsid w:val="005172C0"/>
    <w:rsid w:val="005173E0"/>
    <w:rsid w:val="00517D3F"/>
    <w:rsid w:val="005201FB"/>
    <w:rsid w:val="005202E0"/>
    <w:rsid w:val="005207E3"/>
    <w:rsid w:val="00520E4B"/>
    <w:rsid w:val="00520FA1"/>
    <w:rsid w:val="00521F6D"/>
    <w:rsid w:val="0052349C"/>
    <w:rsid w:val="005239C7"/>
    <w:rsid w:val="00523CF7"/>
    <w:rsid w:val="00524648"/>
    <w:rsid w:val="005250B3"/>
    <w:rsid w:val="005252E5"/>
    <w:rsid w:val="005263D7"/>
    <w:rsid w:val="005265AA"/>
    <w:rsid w:val="0053085A"/>
    <w:rsid w:val="0053160C"/>
    <w:rsid w:val="0053164F"/>
    <w:rsid w:val="0053177C"/>
    <w:rsid w:val="00531B8B"/>
    <w:rsid w:val="00532779"/>
    <w:rsid w:val="005327D0"/>
    <w:rsid w:val="00532985"/>
    <w:rsid w:val="005336FC"/>
    <w:rsid w:val="00533BC0"/>
    <w:rsid w:val="00535818"/>
    <w:rsid w:val="0053649E"/>
    <w:rsid w:val="00536AF5"/>
    <w:rsid w:val="005371A7"/>
    <w:rsid w:val="00537533"/>
    <w:rsid w:val="00537954"/>
    <w:rsid w:val="00537BF1"/>
    <w:rsid w:val="00537F5A"/>
    <w:rsid w:val="00540522"/>
    <w:rsid w:val="005409E8"/>
    <w:rsid w:val="00540EA8"/>
    <w:rsid w:val="0054221C"/>
    <w:rsid w:val="005434D3"/>
    <w:rsid w:val="00543E3B"/>
    <w:rsid w:val="0054417E"/>
    <w:rsid w:val="005443DC"/>
    <w:rsid w:val="005445D9"/>
    <w:rsid w:val="00544D22"/>
    <w:rsid w:val="005457A1"/>
    <w:rsid w:val="00545DF4"/>
    <w:rsid w:val="0054770B"/>
    <w:rsid w:val="00550336"/>
    <w:rsid w:val="00550854"/>
    <w:rsid w:val="0055112C"/>
    <w:rsid w:val="0055139B"/>
    <w:rsid w:val="0055198A"/>
    <w:rsid w:val="00551BC5"/>
    <w:rsid w:val="00551C27"/>
    <w:rsid w:val="005525E7"/>
    <w:rsid w:val="00553860"/>
    <w:rsid w:val="005546EA"/>
    <w:rsid w:val="005549A5"/>
    <w:rsid w:val="00554C6A"/>
    <w:rsid w:val="0055579E"/>
    <w:rsid w:val="005557CE"/>
    <w:rsid w:val="005558E1"/>
    <w:rsid w:val="00555917"/>
    <w:rsid w:val="00555A0D"/>
    <w:rsid w:val="00556589"/>
    <w:rsid w:val="00556AB0"/>
    <w:rsid w:val="00557132"/>
    <w:rsid w:val="0055713D"/>
    <w:rsid w:val="0056011F"/>
    <w:rsid w:val="0056217C"/>
    <w:rsid w:val="00562C52"/>
    <w:rsid w:val="00563869"/>
    <w:rsid w:val="00563D2C"/>
    <w:rsid w:val="0056405B"/>
    <w:rsid w:val="00564958"/>
    <w:rsid w:val="005657D9"/>
    <w:rsid w:val="00565B46"/>
    <w:rsid w:val="00565B7E"/>
    <w:rsid w:val="00565DE5"/>
    <w:rsid w:val="00565F6E"/>
    <w:rsid w:val="00566C3C"/>
    <w:rsid w:val="005676B3"/>
    <w:rsid w:val="00567C8F"/>
    <w:rsid w:val="0057056F"/>
    <w:rsid w:val="00571497"/>
    <w:rsid w:val="00571EF8"/>
    <w:rsid w:val="0057267C"/>
    <w:rsid w:val="00573AAF"/>
    <w:rsid w:val="0057406E"/>
    <w:rsid w:val="0057552A"/>
    <w:rsid w:val="00575D93"/>
    <w:rsid w:val="00576008"/>
    <w:rsid w:val="0057683E"/>
    <w:rsid w:val="00576864"/>
    <w:rsid w:val="00577A65"/>
    <w:rsid w:val="00580389"/>
    <w:rsid w:val="00580E5A"/>
    <w:rsid w:val="005815BE"/>
    <w:rsid w:val="005816FB"/>
    <w:rsid w:val="0058194A"/>
    <w:rsid w:val="005822D1"/>
    <w:rsid w:val="00582761"/>
    <w:rsid w:val="0058366A"/>
    <w:rsid w:val="0058628D"/>
    <w:rsid w:val="00587951"/>
    <w:rsid w:val="00587D4C"/>
    <w:rsid w:val="00591B79"/>
    <w:rsid w:val="00594062"/>
    <w:rsid w:val="00594670"/>
    <w:rsid w:val="00594AB5"/>
    <w:rsid w:val="00594EA9"/>
    <w:rsid w:val="00595141"/>
    <w:rsid w:val="00595E7E"/>
    <w:rsid w:val="00595F51"/>
    <w:rsid w:val="00596345"/>
    <w:rsid w:val="005966D6"/>
    <w:rsid w:val="00596A03"/>
    <w:rsid w:val="00597FA1"/>
    <w:rsid w:val="005A01D5"/>
    <w:rsid w:val="005A142A"/>
    <w:rsid w:val="005A1468"/>
    <w:rsid w:val="005A276F"/>
    <w:rsid w:val="005A2CCF"/>
    <w:rsid w:val="005A2D48"/>
    <w:rsid w:val="005A3886"/>
    <w:rsid w:val="005A38F2"/>
    <w:rsid w:val="005A5590"/>
    <w:rsid w:val="005A5EA3"/>
    <w:rsid w:val="005A639A"/>
    <w:rsid w:val="005A68F8"/>
    <w:rsid w:val="005A69CF"/>
    <w:rsid w:val="005A6C21"/>
    <w:rsid w:val="005A70E7"/>
    <w:rsid w:val="005A7AF3"/>
    <w:rsid w:val="005A7BDF"/>
    <w:rsid w:val="005B0A44"/>
    <w:rsid w:val="005B19AE"/>
    <w:rsid w:val="005B1B3E"/>
    <w:rsid w:val="005B2150"/>
    <w:rsid w:val="005B29AF"/>
    <w:rsid w:val="005B3B0A"/>
    <w:rsid w:val="005B4CB8"/>
    <w:rsid w:val="005B512C"/>
    <w:rsid w:val="005B54EF"/>
    <w:rsid w:val="005B586F"/>
    <w:rsid w:val="005B59CB"/>
    <w:rsid w:val="005B5C27"/>
    <w:rsid w:val="005B665A"/>
    <w:rsid w:val="005B7D0B"/>
    <w:rsid w:val="005C09A7"/>
    <w:rsid w:val="005C1F1D"/>
    <w:rsid w:val="005C255D"/>
    <w:rsid w:val="005C264C"/>
    <w:rsid w:val="005C28B9"/>
    <w:rsid w:val="005C2F67"/>
    <w:rsid w:val="005C33D9"/>
    <w:rsid w:val="005C39C6"/>
    <w:rsid w:val="005C39E8"/>
    <w:rsid w:val="005C3A5A"/>
    <w:rsid w:val="005C4C9A"/>
    <w:rsid w:val="005C60C7"/>
    <w:rsid w:val="005C6CAD"/>
    <w:rsid w:val="005C6F60"/>
    <w:rsid w:val="005D0E65"/>
    <w:rsid w:val="005D1FD1"/>
    <w:rsid w:val="005D25FB"/>
    <w:rsid w:val="005D2E79"/>
    <w:rsid w:val="005D38EE"/>
    <w:rsid w:val="005D440C"/>
    <w:rsid w:val="005D4845"/>
    <w:rsid w:val="005D4F10"/>
    <w:rsid w:val="005D5B4F"/>
    <w:rsid w:val="005D5EBF"/>
    <w:rsid w:val="005D5F22"/>
    <w:rsid w:val="005D600E"/>
    <w:rsid w:val="005D6677"/>
    <w:rsid w:val="005D7ED3"/>
    <w:rsid w:val="005E0151"/>
    <w:rsid w:val="005E0D0C"/>
    <w:rsid w:val="005E0D94"/>
    <w:rsid w:val="005E0DCD"/>
    <w:rsid w:val="005E110D"/>
    <w:rsid w:val="005E117E"/>
    <w:rsid w:val="005E1687"/>
    <w:rsid w:val="005E196C"/>
    <w:rsid w:val="005E1B47"/>
    <w:rsid w:val="005E1DE3"/>
    <w:rsid w:val="005E230F"/>
    <w:rsid w:val="005E3281"/>
    <w:rsid w:val="005E33D1"/>
    <w:rsid w:val="005E429D"/>
    <w:rsid w:val="005E4AC3"/>
    <w:rsid w:val="005E55DB"/>
    <w:rsid w:val="005E5986"/>
    <w:rsid w:val="005E6271"/>
    <w:rsid w:val="005E6AC1"/>
    <w:rsid w:val="005E78E5"/>
    <w:rsid w:val="005F0380"/>
    <w:rsid w:val="005F0C0D"/>
    <w:rsid w:val="005F13D9"/>
    <w:rsid w:val="005F1CE4"/>
    <w:rsid w:val="005F25B3"/>
    <w:rsid w:val="005F303F"/>
    <w:rsid w:val="005F312E"/>
    <w:rsid w:val="005F356B"/>
    <w:rsid w:val="005F3821"/>
    <w:rsid w:val="005F3AC9"/>
    <w:rsid w:val="005F3B5F"/>
    <w:rsid w:val="005F3BD8"/>
    <w:rsid w:val="005F3D96"/>
    <w:rsid w:val="005F4699"/>
    <w:rsid w:val="005F4723"/>
    <w:rsid w:val="005F5405"/>
    <w:rsid w:val="005F6978"/>
    <w:rsid w:val="005F72E1"/>
    <w:rsid w:val="005F773A"/>
    <w:rsid w:val="005F7878"/>
    <w:rsid w:val="00600199"/>
    <w:rsid w:val="00600991"/>
    <w:rsid w:val="00600C4D"/>
    <w:rsid w:val="00601D38"/>
    <w:rsid w:val="0060300B"/>
    <w:rsid w:val="00603230"/>
    <w:rsid w:val="00603C52"/>
    <w:rsid w:val="00604810"/>
    <w:rsid w:val="00604C71"/>
    <w:rsid w:val="0060669E"/>
    <w:rsid w:val="00606E5C"/>
    <w:rsid w:val="00607E0A"/>
    <w:rsid w:val="0061024E"/>
    <w:rsid w:val="0061103E"/>
    <w:rsid w:val="0061150C"/>
    <w:rsid w:val="00611D12"/>
    <w:rsid w:val="0061280B"/>
    <w:rsid w:val="006130BB"/>
    <w:rsid w:val="0061324C"/>
    <w:rsid w:val="006138A1"/>
    <w:rsid w:val="006144B2"/>
    <w:rsid w:val="0061484E"/>
    <w:rsid w:val="00614D0E"/>
    <w:rsid w:val="00615436"/>
    <w:rsid w:val="006156B0"/>
    <w:rsid w:val="00615773"/>
    <w:rsid w:val="00615AE3"/>
    <w:rsid w:val="00616029"/>
    <w:rsid w:val="0061695C"/>
    <w:rsid w:val="00616ECD"/>
    <w:rsid w:val="0061778B"/>
    <w:rsid w:val="00617FF4"/>
    <w:rsid w:val="00620AB3"/>
    <w:rsid w:val="0062176F"/>
    <w:rsid w:val="0062217F"/>
    <w:rsid w:val="006223F3"/>
    <w:rsid w:val="00623582"/>
    <w:rsid w:val="00623710"/>
    <w:rsid w:val="006239F6"/>
    <w:rsid w:val="0062415C"/>
    <w:rsid w:val="006241B6"/>
    <w:rsid w:val="00624635"/>
    <w:rsid w:val="006249C0"/>
    <w:rsid w:val="00624E27"/>
    <w:rsid w:val="0062544C"/>
    <w:rsid w:val="00625627"/>
    <w:rsid w:val="006257E2"/>
    <w:rsid w:val="0062669D"/>
    <w:rsid w:val="00626978"/>
    <w:rsid w:val="00627868"/>
    <w:rsid w:val="00630A9F"/>
    <w:rsid w:val="00631196"/>
    <w:rsid w:val="0063138C"/>
    <w:rsid w:val="00631F60"/>
    <w:rsid w:val="00632FDD"/>
    <w:rsid w:val="006330D9"/>
    <w:rsid w:val="00633173"/>
    <w:rsid w:val="00634791"/>
    <w:rsid w:val="00634D3E"/>
    <w:rsid w:val="00635A45"/>
    <w:rsid w:val="00640F0E"/>
    <w:rsid w:val="006414EB"/>
    <w:rsid w:val="00643DF5"/>
    <w:rsid w:val="006441E4"/>
    <w:rsid w:val="0064425B"/>
    <w:rsid w:val="006443B2"/>
    <w:rsid w:val="00644813"/>
    <w:rsid w:val="00644979"/>
    <w:rsid w:val="0064615C"/>
    <w:rsid w:val="006471C9"/>
    <w:rsid w:val="00647BD1"/>
    <w:rsid w:val="00652600"/>
    <w:rsid w:val="00653379"/>
    <w:rsid w:val="00653652"/>
    <w:rsid w:val="0065469F"/>
    <w:rsid w:val="00654800"/>
    <w:rsid w:val="00654898"/>
    <w:rsid w:val="00654BFF"/>
    <w:rsid w:val="00654F56"/>
    <w:rsid w:val="006551DA"/>
    <w:rsid w:val="00655FD9"/>
    <w:rsid w:val="00656045"/>
    <w:rsid w:val="00656F3F"/>
    <w:rsid w:val="00657290"/>
    <w:rsid w:val="006577BE"/>
    <w:rsid w:val="00660849"/>
    <w:rsid w:val="00660CF0"/>
    <w:rsid w:val="00660F50"/>
    <w:rsid w:val="00661076"/>
    <w:rsid w:val="00661C3C"/>
    <w:rsid w:val="00661EBD"/>
    <w:rsid w:val="00664EE0"/>
    <w:rsid w:val="00665222"/>
    <w:rsid w:val="006652C7"/>
    <w:rsid w:val="00665B48"/>
    <w:rsid w:val="0066609E"/>
    <w:rsid w:val="006677F5"/>
    <w:rsid w:val="006702CF"/>
    <w:rsid w:val="0067031E"/>
    <w:rsid w:val="0067087D"/>
    <w:rsid w:val="00670951"/>
    <w:rsid w:val="00670B95"/>
    <w:rsid w:val="00670DBA"/>
    <w:rsid w:val="00671052"/>
    <w:rsid w:val="006719B5"/>
    <w:rsid w:val="00671C92"/>
    <w:rsid w:val="00671D7E"/>
    <w:rsid w:val="006721CA"/>
    <w:rsid w:val="00672536"/>
    <w:rsid w:val="00672FA4"/>
    <w:rsid w:val="00673085"/>
    <w:rsid w:val="00673525"/>
    <w:rsid w:val="0067355A"/>
    <w:rsid w:val="00673926"/>
    <w:rsid w:val="00673CC0"/>
    <w:rsid w:val="006742F3"/>
    <w:rsid w:val="006749B3"/>
    <w:rsid w:val="00674FB2"/>
    <w:rsid w:val="006756F5"/>
    <w:rsid w:val="00675EF3"/>
    <w:rsid w:val="00676016"/>
    <w:rsid w:val="00676A88"/>
    <w:rsid w:val="006811D0"/>
    <w:rsid w:val="00681FBB"/>
    <w:rsid w:val="0068248F"/>
    <w:rsid w:val="00682914"/>
    <w:rsid w:val="006829A0"/>
    <w:rsid w:val="00682A64"/>
    <w:rsid w:val="00684944"/>
    <w:rsid w:val="00684A72"/>
    <w:rsid w:val="0068597B"/>
    <w:rsid w:val="006863CE"/>
    <w:rsid w:val="00686843"/>
    <w:rsid w:val="006869B0"/>
    <w:rsid w:val="00687077"/>
    <w:rsid w:val="00687140"/>
    <w:rsid w:val="00687C90"/>
    <w:rsid w:val="00690220"/>
    <w:rsid w:val="00690AF1"/>
    <w:rsid w:val="00693062"/>
    <w:rsid w:val="00693260"/>
    <w:rsid w:val="0069389F"/>
    <w:rsid w:val="0069407A"/>
    <w:rsid w:val="00694773"/>
    <w:rsid w:val="00694C26"/>
    <w:rsid w:val="00695016"/>
    <w:rsid w:val="00695423"/>
    <w:rsid w:val="00696149"/>
    <w:rsid w:val="00696C11"/>
    <w:rsid w:val="006973B0"/>
    <w:rsid w:val="006A045D"/>
    <w:rsid w:val="006A05F4"/>
    <w:rsid w:val="006A0854"/>
    <w:rsid w:val="006A1A90"/>
    <w:rsid w:val="006A215A"/>
    <w:rsid w:val="006A24BA"/>
    <w:rsid w:val="006A3170"/>
    <w:rsid w:val="006A33A5"/>
    <w:rsid w:val="006A4613"/>
    <w:rsid w:val="006A4DB0"/>
    <w:rsid w:val="006A55BA"/>
    <w:rsid w:val="006A6572"/>
    <w:rsid w:val="006A6795"/>
    <w:rsid w:val="006A6B85"/>
    <w:rsid w:val="006A74BE"/>
    <w:rsid w:val="006A797C"/>
    <w:rsid w:val="006A7C56"/>
    <w:rsid w:val="006A7EAC"/>
    <w:rsid w:val="006B0E3A"/>
    <w:rsid w:val="006B1424"/>
    <w:rsid w:val="006B1D02"/>
    <w:rsid w:val="006B1D44"/>
    <w:rsid w:val="006B375A"/>
    <w:rsid w:val="006B43A5"/>
    <w:rsid w:val="006B476E"/>
    <w:rsid w:val="006B4B52"/>
    <w:rsid w:val="006B67FE"/>
    <w:rsid w:val="006B7461"/>
    <w:rsid w:val="006B7517"/>
    <w:rsid w:val="006B76E0"/>
    <w:rsid w:val="006B7928"/>
    <w:rsid w:val="006C0F3D"/>
    <w:rsid w:val="006C2192"/>
    <w:rsid w:val="006C390D"/>
    <w:rsid w:val="006C452B"/>
    <w:rsid w:val="006C4901"/>
    <w:rsid w:val="006C54DD"/>
    <w:rsid w:val="006C5E72"/>
    <w:rsid w:val="006C6007"/>
    <w:rsid w:val="006C6E4D"/>
    <w:rsid w:val="006C7300"/>
    <w:rsid w:val="006C7AAF"/>
    <w:rsid w:val="006D0C83"/>
    <w:rsid w:val="006D2094"/>
    <w:rsid w:val="006D2C2A"/>
    <w:rsid w:val="006D2EED"/>
    <w:rsid w:val="006D3937"/>
    <w:rsid w:val="006D3B7F"/>
    <w:rsid w:val="006D464B"/>
    <w:rsid w:val="006D472F"/>
    <w:rsid w:val="006D49C3"/>
    <w:rsid w:val="006D53CA"/>
    <w:rsid w:val="006D5994"/>
    <w:rsid w:val="006D68A3"/>
    <w:rsid w:val="006D7550"/>
    <w:rsid w:val="006D7C47"/>
    <w:rsid w:val="006E0425"/>
    <w:rsid w:val="006E05C2"/>
    <w:rsid w:val="006E093B"/>
    <w:rsid w:val="006E0FC5"/>
    <w:rsid w:val="006E1102"/>
    <w:rsid w:val="006E2583"/>
    <w:rsid w:val="006E38AF"/>
    <w:rsid w:val="006E3E8E"/>
    <w:rsid w:val="006E410A"/>
    <w:rsid w:val="006E42B9"/>
    <w:rsid w:val="006E4485"/>
    <w:rsid w:val="006E56B2"/>
    <w:rsid w:val="006E5EFD"/>
    <w:rsid w:val="006E674D"/>
    <w:rsid w:val="006E686D"/>
    <w:rsid w:val="006E7097"/>
    <w:rsid w:val="006E71A2"/>
    <w:rsid w:val="006E747B"/>
    <w:rsid w:val="006E7C22"/>
    <w:rsid w:val="006F0015"/>
    <w:rsid w:val="006F0017"/>
    <w:rsid w:val="006F00A6"/>
    <w:rsid w:val="006F07BB"/>
    <w:rsid w:val="006F134C"/>
    <w:rsid w:val="006F143F"/>
    <w:rsid w:val="006F2BFF"/>
    <w:rsid w:val="006F2D4B"/>
    <w:rsid w:val="006F2FEC"/>
    <w:rsid w:val="006F301B"/>
    <w:rsid w:val="006F3169"/>
    <w:rsid w:val="006F33C0"/>
    <w:rsid w:val="006F421D"/>
    <w:rsid w:val="006F4379"/>
    <w:rsid w:val="006F4422"/>
    <w:rsid w:val="006F4AAF"/>
    <w:rsid w:val="006F525C"/>
    <w:rsid w:val="006F55FA"/>
    <w:rsid w:val="006F61EC"/>
    <w:rsid w:val="006F6318"/>
    <w:rsid w:val="006F697C"/>
    <w:rsid w:val="006F6E7D"/>
    <w:rsid w:val="006F77CE"/>
    <w:rsid w:val="006F7B8C"/>
    <w:rsid w:val="006F7CF7"/>
    <w:rsid w:val="00700AD7"/>
    <w:rsid w:val="00700CF1"/>
    <w:rsid w:val="007032FF"/>
    <w:rsid w:val="00704365"/>
    <w:rsid w:val="00704370"/>
    <w:rsid w:val="007053C2"/>
    <w:rsid w:val="007054BC"/>
    <w:rsid w:val="00705BB1"/>
    <w:rsid w:val="007060AE"/>
    <w:rsid w:val="00706573"/>
    <w:rsid w:val="00706919"/>
    <w:rsid w:val="00707EF6"/>
    <w:rsid w:val="0071014E"/>
    <w:rsid w:val="007103FD"/>
    <w:rsid w:val="00711077"/>
    <w:rsid w:val="00711777"/>
    <w:rsid w:val="0071212C"/>
    <w:rsid w:val="0071227D"/>
    <w:rsid w:val="00712D54"/>
    <w:rsid w:val="007138D7"/>
    <w:rsid w:val="0071505D"/>
    <w:rsid w:val="00715396"/>
    <w:rsid w:val="00715E08"/>
    <w:rsid w:val="00716EAF"/>
    <w:rsid w:val="00717B65"/>
    <w:rsid w:val="00720ADF"/>
    <w:rsid w:val="007211D7"/>
    <w:rsid w:val="00721427"/>
    <w:rsid w:val="007219EB"/>
    <w:rsid w:val="00721F6E"/>
    <w:rsid w:val="007220BF"/>
    <w:rsid w:val="007223A8"/>
    <w:rsid w:val="00722419"/>
    <w:rsid w:val="007226B0"/>
    <w:rsid w:val="00722ADE"/>
    <w:rsid w:val="00722FAD"/>
    <w:rsid w:val="00724A2E"/>
    <w:rsid w:val="00725348"/>
    <w:rsid w:val="007255FA"/>
    <w:rsid w:val="00726441"/>
    <w:rsid w:val="0072674B"/>
    <w:rsid w:val="00726E9F"/>
    <w:rsid w:val="00726F29"/>
    <w:rsid w:val="0072769E"/>
    <w:rsid w:val="00727B04"/>
    <w:rsid w:val="0073035C"/>
    <w:rsid w:val="00730842"/>
    <w:rsid w:val="00730913"/>
    <w:rsid w:val="00730CC7"/>
    <w:rsid w:val="00731D45"/>
    <w:rsid w:val="00731D91"/>
    <w:rsid w:val="00732802"/>
    <w:rsid w:val="00732E7C"/>
    <w:rsid w:val="00732EAC"/>
    <w:rsid w:val="007331FF"/>
    <w:rsid w:val="007333AD"/>
    <w:rsid w:val="007348DB"/>
    <w:rsid w:val="0073516D"/>
    <w:rsid w:val="007354A8"/>
    <w:rsid w:val="00735FAA"/>
    <w:rsid w:val="00736351"/>
    <w:rsid w:val="0073661C"/>
    <w:rsid w:val="00736B27"/>
    <w:rsid w:val="0073710F"/>
    <w:rsid w:val="007373C5"/>
    <w:rsid w:val="00740032"/>
    <w:rsid w:val="0074035F"/>
    <w:rsid w:val="00740B14"/>
    <w:rsid w:val="00741459"/>
    <w:rsid w:val="00741650"/>
    <w:rsid w:val="007419AC"/>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C33"/>
    <w:rsid w:val="00750AAB"/>
    <w:rsid w:val="00750D04"/>
    <w:rsid w:val="0075223D"/>
    <w:rsid w:val="00752449"/>
    <w:rsid w:val="007544E1"/>
    <w:rsid w:val="00754D81"/>
    <w:rsid w:val="00754ED3"/>
    <w:rsid w:val="0075556A"/>
    <w:rsid w:val="00755ABE"/>
    <w:rsid w:val="00755ECC"/>
    <w:rsid w:val="00756416"/>
    <w:rsid w:val="00756744"/>
    <w:rsid w:val="00756A35"/>
    <w:rsid w:val="00756C45"/>
    <w:rsid w:val="00757154"/>
    <w:rsid w:val="00757182"/>
    <w:rsid w:val="0075747D"/>
    <w:rsid w:val="007578E8"/>
    <w:rsid w:val="00760189"/>
    <w:rsid w:val="007607EB"/>
    <w:rsid w:val="00761CE3"/>
    <w:rsid w:val="00761E10"/>
    <w:rsid w:val="00761F50"/>
    <w:rsid w:val="00761F78"/>
    <w:rsid w:val="0076234A"/>
    <w:rsid w:val="00763E96"/>
    <w:rsid w:val="00763F16"/>
    <w:rsid w:val="007641AA"/>
    <w:rsid w:val="00765901"/>
    <w:rsid w:val="00765EDD"/>
    <w:rsid w:val="00766847"/>
    <w:rsid w:val="00766A70"/>
    <w:rsid w:val="007707EE"/>
    <w:rsid w:val="007722F9"/>
    <w:rsid w:val="00772320"/>
    <w:rsid w:val="00772410"/>
    <w:rsid w:val="0077269A"/>
    <w:rsid w:val="00773CA8"/>
    <w:rsid w:val="0077410D"/>
    <w:rsid w:val="00774CE2"/>
    <w:rsid w:val="00774D66"/>
    <w:rsid w:val="00774E63"/>
    <w:rsid w:val="007760B1"/>
    <w:rsid w:val="007762E7"/>
    <w:rsid w:val="007762EF"/>
    <w:rsid w:val="007768DE"/>
    <w:rsid w:val="00781587"/>
    <w:rsid w:val="007819A5"/>
    <w:rsid w:val="00781CFA"/>
    <w:rsid w:val="00782363"/>
    <w:rsid w:val="0078244A"/>
    <w:rsid w:val="00782790"/>
    <w:rsid w:val="00782E7E"/>
    <w:rsid w:val="007833A6"/>
    <w:rsid w:val="007839CF"/>
    <w:rsid w:val="00784128"/>
    <w:rsid w:val="00784A8E"/>
    <w:rsid w:val="00784BF1"/>
    <w:rsid w:val="00784C05"/>
    <w:rsid w:val="007858D4"/>
    <w:rsid w:val="00785A3E"/>
    <w:rsid w:val="00785E52"/>
    <w:rsid w:val="00786013"/>
    <w:rsid w:val="00786499"/>
    <w:rsid w:val="00786827"/>
    <w:rsid w:val="0078722E"/>
    <w:rsid w:val="00787E2B"/>
    <w:rsid w:val="00787EA7"/>
    <w:rsid w:val="007919F3"/>
    <w:rsid w:val="007924C0"/>
    <w:rsid w:val="00793A2E"/>
    <w:rsid w:val="00794BDF"/>
    <w:rsid w:val="00795746"/>
    <w:rsid w:val="00795B11"/>
    <w:rsid w:val="00796147"/>
    <w:rsid w:val="00796CDA"/>
    <w:rsid w:val="00796FAA"/>
    <w:rsid w:val="0079701C"/>
    <w:rsid w:val="007A011C"/>
    <w:rsid w:val="007A02EE"/>
    <w:rsid w:val="007A047E"/>
    <w:rsid w:val="007A080E"/>
    <w:rsid w:val="007A2109"/>
    <w:rsid w:val="007A284D"/>
    <w:rsid w:val="007A288A"/>
    <w:rsid w:val="007A613E"/>
    <w:rsid w:val="007A7198"/>
    <w:rsid w:val="007B0419"/>
    <w:rsid w:val="007B0472"/>
    <w:rsid w:val="007B0FC8"/>
    <w:rsid w:val="007B10D9"/>
    <w:rsid w:val="007B1ACD"/>
    <w:rsid w:val="007B1AFC"/>
    <w:rsid w:val="007B29C3"/>
    <w:rsid w:val="007B2B03"/>
    <w:rsid w:val="007B3095"/>
    <w:rsid w:val="007B30A0"/>
    <w:rsid w:val="007B3C6D"/>
    <w:rsid w:val="007B418D"/>
    <w:rsid w:val="007B48E0"/>
    <w:rsid w:val="007B4B4B"/>
    <w:rsid w:val="007B529D"/>
    <w:rsid w:val="007B5B57"/>
    <w:rsid w:val="007B5D65"/>
    <w:rsid w:val="007B5DB8"/>
    <w:rsid w:val="007C06A1"/>
    <w:rsid w:val="007C0805"/>
    <w:rsid w:val="007C09CF"/>
    <w:rsid w:val="007C10AB"/>
    <w:rsid w:val="007C16B7"/>
    <w:rsid w:val="007C1B87"/>
    <w:rsid w:val="007C2984"/>
    <w:rsid w:val="007C2B4A"/>
    <w:rsid w:val="007C2FAC"/>
    <w:rsid w:val="007C335E"/>
    <w:rsid w:val="007C5937"/>
    <w:rsid w:val="007C5B7D"/>
    <w:rsid w:val="007C62A6"/>
    <w:rsid w:val="007C6514"/>
    <w:rsid w:val="007D02B3"/>
    <w:rsid w:val="007D2969"/>
    <w:rsid w:val="007D29F1"/>
    <w:rsid w:val="007D2A8E"/>
    <w:rsid w:val="007D345A"/>
    <w:rsid w:val="007D3FE6"/>
    <w:rsid w:val="007D4E20"/>
    <w:rsid w:val="007D4FC7"/>
    <w:rsid w:val="007D5524"/>
    <w:rsid w:val="007D5F01"/>
    <w:rsid w:val="007D6CBF"/>
    <w:rsid w:val="007D6CF6"/>
    <w:rsid w:val="007D78E3"/>
    <w:rsid w:val="007E0486"/>
    <w:rsid w:val="007E06C0"/>
    <w:rsid w:val="007E0877"/>
    <w:rsid w:val="007E269E"/>
    <w:rsid w:val="007E59A3"/>
    <w:rsid w:val="007E612D"/>
    <w:rsid w:val="007E6474"/>
    <w:rsid w:val="007E6BAA"/>
    <w:rsid w:val="007E70A4"/>
    <w:rsid w:val="007F03F4"/>
    <w:rsid w:val="007F0621"/>
    <w:rsid w:val="007F09D6"/>
    <w:rsid w:val="007F137C"/>
    <w:rsid w:val="007F207E"/>
    <w:rsid w:val="007F218E"/>
    <w:rsid w:val="007F23CB"/>
    <w:rsid w:val="007F34B3"/>
    <w:rsid w:val="007F34BD"/>
    <w:rsid w:val="007F3A34"/>
    <w:rsid w:val="007F5487"/>
    <w:rsid w:val="007F5CCB"/>
    <w:rsid w:val="007F5DAC"/>
    <w:rsid w:val="007F70B7"/>
    <w:rsid w:val="007F7907"/>
    <w:rsid w:val="007F7932"/>
    <w:rsid w:val="008011B8"/>
    <w:rsid w:val="008011C1"/>
    <w:rsid w:val="00802811"/>
    <w:rsid w:val="0080284C"/>
    <w:rsid w:val="0080314B"/>
    <w:rsid w:val="00803646"/>
    <w:rsid w:val="008037DC"/>
    <w:rsid w:val="008047D3"/>
    <w:rsid w:val="00804CC0"/>
    <w:rsid w:val="00805D8B"/>
    <w:rsid w:val="008069F1"/>
    <w:rsid w:val="008074C7"/>
    <w:rsid w:val="008076B9"/>
    <w:rsid w:val="008105E9"/>
    <w:rsid w:val="008112E5"/>
    <w:rsid w:val="0081166E"/>
    <w:rsid w:val="00811790"/>
    <w:rsid w:val="008118DB"/>
    <w:rsid w:val="0081220B"/>
    <w:rsid w:val="008145B4"/>
    <w:rsid w:val="0081485D"/>
    <w:rsid w:val="00814C11"/>
    <w:rsid w:val="00815209"/>
    <w:rsid w:val="0081530F"/>
    <w:rsid w:val="008157C9"/>
    <w:rsid w:val="00815A16"/>
    <w:rsid w:val="008165A0"/>
    <w:rsid w:val="008166A7"/>
    <w:rsid w:val="00817101"/>
    <w:rsid w:val="00817246"/>
    <w:rsid w:val="00817426"/>
    <w:rsid w:val="00820098"/>
    <w:rsid w:val="00820A48"/>
    <w:rsid w:val="00820B6E"/>
    <w:rsid w:val="00820F38"/>
    <w:rsid w:val="008212DB"/>
    <w:rsid w:val="00821399"/>
    <w:rsid w:val="00821EA4"/>
    <w:rsid w:val="00821EF3"/>
    <w:rsid w:val="008224E3"/>
    <w:rsid w:val="00822771"/>
    <w:rsid w:val="00822E04"/>
    <w:rsid w:val="008236BC"/>
    <w:rsid w:val="00823FE5"/>
    <w:rsid w:val="00824BA2"/>
    <w:rsid w:val="0082548B"/>
    <w:rsid w:val="008256A7"/>
    <w:rsid w:val="00825EC2"/>
    <w:rsid w:val="00825FEF"/>
    <w:rsid w:val="0082706B"/>
    <w:rsid w:val="0082799B"/>
    <w:rsid w:val="0083162C"/>
    <w:rsid w:val="0083264B"/>
    <w:rsid w:val="008326CD"/>
    <w:rsid w:val="00834671"/>
    <w:rsid w:val="00834CBF"/>
    <w:rsid w:val="00835B57"/>
    <w:rsid w:val="00835D96"/>
    <w:rsid w:val="00836124"/>
    <w:rsid w:val="00836EEC"/>
    <w:rsid w:val="00836FB3"/>
    <w:rsid w:val="008374B2"/>
    <w:rsid w:val="00837C49"/>
    <w:rsid w:val="008406C3"/>
    <w:rsid w:val="00840F3F"/>
    <w:rsid w:val="00841413"/>
    <w:rsid w:val="00842ED3"/>
    <w:rsid w:val="008431EC"/>
    <w:rsid w:val="00843469"/>
    <w:rsid w:val="008438A4"/>
    <w:rsid w:val="008447D7"/>
    <w:rsid w:val="00844C62"/>
    <w:rsid w:val="00844CC1"/>
    <w:rsid w:val="00844DB6"/>
    <w:rsid w:val="008453B1"/>
    <w:rsid w:val="008459E2"/>
    <w:rsid w:val="008461EC"/>
    <w:rsid w:val="00850369"/>
    <w:rsid w:val="008510CD"/>
    <w:rsid w:val="0085130E"/>
    <w:rsid w:val="00851982"/>
    <w:rsid w:val="008540EF"/>
    <w:rsid w:val="00854AB0"/>
    <w:rsid w:val="00855AA9"/>
    <w:rsid w:val="00856FFE"/>
    <w:rsid w:val="00857252"/>
    <w:rsid w:val="008579F3"/>
    <w:rsid w:val="00857CF7"/>
    <w:rsid w:val="008600C8"/>
    <w:rsid w:val="0086239E"/>
    <w:rsid w:val="00862482"/>
    <w:rsid w:val="00862C4E"/>
    <w:rsid w:val="00863294"/>
    <w:rsid w:val="0086461E"/>
    <w:rsid w:val="00864A6A"/>
    <w:rsid w:val="00864AB9"/>
    <w:rsid w:val="008667B6"/>
    <w:rsid w:val="00866B16"/>
    <w:rsid w:val="00866C45"/>
    <w:rsid w:val="00866D76"/>
    <w:rsid w:val="00867676"/>
    <w:rsid w:val="00867F4C"/>
    <w:rsid w:val="0087062C"/>
    <w:rsid w:val="0087168B"/>
    <w:rsid w:val="00871DC8"/>
    <w:rsid w:val="00872308"/>
    <w:rsid w:val="008729CD"/>
    <w:rsid w:val="008731C6"/>
    <w:rsid w:val="0087449D"/>
    <w:rsid w:val="00874749"/>
    <w:rsid w:val="00874979"/>
    <w:rsid w:val="00874A47"/>
    <w:rsid w:val="008753A5"/>
    <w:rsid w:val="0087595A"/>
    <w:rsid w:val="00875A0D"/>
    <w:rsid w:val="00875EAF"/>
    <w:rsid w:val="0087672B"/>
    <w:rsid w:val="00876883"/>
    <w:rsid w:val="00876ECB"/>
    <w:rsid w:val="0087750E"/>
    <w:rsid w:val="00877934"/>
    <w:rsid w:val="008800AF"/>
    <w:rsid w:val="008809A6"/>
    <w:rsid w:val="008813B9"/>
    <w:rsid w:val="00882185"/>
    <w:rsid w:val="00882BEC"/>
    <w:rsid w:val="00882D85"/>
    <w:rsid w:val="00882EF1"/>
    <w:rsid w:val="00883516"/>
    <w:rsid w:val="008840D9"/>
    <w:rsid w:val="008841DA"/>
    <w:rsid w:val="0088431F"/>
    <w:rsid w:val="00885104"/>
    <w:rsid w:val="008854A6"/>
    <w:rsid w:val="00885718"/>
    <w:rsid w:val="00885CD0"/>
    <w:rsid w:val="00886014"/>
    <w:rsid w:val="00886784"/>
    <w:rsid w:val="00886886"/>
    <w:rsid w:val="00886AEF"/>
    <w:rsid w:val="00887FB7"/>
    <w:rsid w:val="008901AC"/>
    <w:rsid w:val="0089088F"/>
    <w:rsid w:val="00890AFE"/>
    <w:rsid w:val="00891123"/>
    <w:rsid w:val="008911BE"/>
    <w:rsid w:val="00891873"/>
    <w:rsid w:val="0089377B"/>
    <w:rsid w:val="00893876"/>
    <w:rsid w:val="00894E7A"/>
    <w:rsid w:val="00894F15"/>
    <w:rsid w:val="00895DBF"/>
    <w:rsid w:val="0089655C"/>
    <w:rsid w:val="00896733"/>
    <w:rsid w:val="008972F4"/>
    <w:rsid w:val="008A06BF"/>
    <w:rsid w:val="008A0B85"/>
    <w:rsid w:val="008A0D77"/>
    <w:rsid w:val="008A0DBD"/>
    <w:rsid w:val="008A12B4"/>
    <w:rsid w:val="008A2609"/>
    <w:rsid w:val="008A385F"/>
    <w:rsid w:val="008A4385"/>
    <w:rsid w:val="008A43FA"/>
    <w:rsid w:val="008A4E99"/>
    <w:rsid w:val="008A56A7"/>
    <w:rsid w:val="008A5CCE"/>
    <w:rsid w:val="008A6348"/>
    <w:rsid w:val="008A65BD"/>
    <w:rsid w:val="008A662D"/>
    <w:rsid w:val="008A6B55"/>
    <w:rsid w:val="008A7764"/>
    <w:rsid w:val="008A7FBC"/>
    <w:rsid w:val="008B09B6"/>
    <w:rsid w:val="008B0CC5"/>
    <w:rsid w:val="008B1373"/>
    <w:rsid w:val="008B1523"/>
    <w:rsid w:val="008B19ED"/>
    <w:rsid w:val="008B2688"/>
    <w:rsid w:val="008B2B43"/>
    <w:rsid w:val="008B341A"/>
    <w:rsid w:val="008B4186"/>
    <w:rsid w:val="008B4781"/>
    <w:rsid w:val="008B4ABA"/>
    <w:rsid w:val="008B4CF7"/>
    <w:rsid w:val="008B5406"/>
    <w:rsid w:val="008B560B"/>
    <w:rsid w:val="008B6703"/>
    <w:rsid w:val="008B7181"/>
    <w:rsid w:val="008B7C3E"/>
    <w:rsid w:val="008C05AC"/>
    <w:rsid w:val="008C0F03"/>
    <w:rsid w:val="008C14D1"/>
    <w:rsid w:val="008C170B"/>
    <w:rsid w:val="008C1DD2"/>
    <w:rsid w:val="008C1E6A"/>
    <w:rsid w:val="008C2A0F"/>
    <w:rsid w:val="008C2D66"/>
    <w:rsid w:val="008C2D7B"/>
    <w:rsid w:val="008C3F49"/>
    <w:rsid w:val="008C459A"/>
    <w:rsid w:val="008C5966"/>
    <w:rsid w:val="008C5D29"/>
    <w:rsid w:val="008C6609"/>
    <w:rsid w:val="008C699D"/>
    <w:rsid w:val="008C6DBB"/>
    <w:rsid w:val="008C7373"/>
    <w:rsid w:val="008C7FEC"/>
    <w:rsid w:val="008D01E2"/>
    <w:rsid w:val="008D022A"/>
    <w:rsid w:val="008D041A"/>
    <w:rsid w:val="008D0487"/>
    <w:rsid w:val="008D0BCC"/>
    <w:rsid w:val="008D109A"/>
    <w:rsid w:val="008D1EDA"/>
    <w:rsid w:val="008D22F7"/>
    <w:rsid w:val="008D288D"/>
    <w:rsid w:val="008D4CC7"/>
    <w:rsid w:val="008D5B60"/>
    <w:rsid w:val="008D5C69"/>
    <w:rsid w:val="008D5EA5"/>
    <w:rsid w:val="008D62BA"/>
    <w:rsid w:val="008D6578"/>
    <w:rsid w:val="008D66C8"/>
    <w:rsid w:val="008D6B1A"/>
    <w:rsid w:val="008D72C5"/>
    <w:rsid w:val="008E1006"/>
    <w:rsid w:val="008E12C0"/>
    <w:rsid w:val="008E170C"/>
    <w:rsid w:val="008E176B"/>
    <w:rsid w:val="008E2180"/>
    <w:rsid w:val="008E2274"/>
    <w:rsid w:val="008E2A9A"/>
    <w:rsid w:val="008E2EEF"/>
    <w:rsid w:val="008E3AD1"/>
    <w:rsid w:val="008E4401"/>
    <w:rsid w:val="008E5D36"/>
    <w:rsid w:val="008E6655"/>
    <w:rsid w:val="008E7431"/>
    <w:rsid w:val="008E78FC"/>
    <w:rsid w:val="008E79B3"/>
    <w:rsid w:val="008F02A5"/>
    <w:rsid w:val="008F0455"/>
    <w:rsid w:val="008F0BD1"/>
    <w:rsid w:val="008F0DC9"/>
    <w:rsid w:val="008F1122"/>
    <w:rsid w:val="008F1A68"/>
    <w:rsid w:val="008F1CCA"/>
    <w:rsid w:val="008F2000"/>
    <w:rsid w:val="008F2141"/>
    <w:rsid w:val="008F2302"/>
    <w:rsid w:val="008F2312"/>
    <w:rsid w:val="008F29F3"/>
    <w:rsid w:val="008F2ADC"/>
    <w:rsid w:val="008F2F4E"/>
    <w:rsid w:val="008F3072"/>
    <w:rsid w:val="008F3611"/>
    <w:rsid w:val="008F370D"/>
    <w:rsid w:val="008F3A6D"/>
    <w:rsid w:val="008F3BF8"/>
    <w:rsid w:val="008F4428"/>
    <w:rsid w:val="008F5069"/>
    <w:rsid w:val="008F5202"/>
    <w:rsid w:val="008F55EC"/>
    <w:rsid w:val="008F5E1C"/>
    <w:rsid w:val="008F64CA"/>
    <w:rsid w:val="008F68B1"/>
    <w:rsid w:val="008F7171"/>
    <w:rsid w:val="008F7A2D"/>
    <w:rsid w:val="008F7A46"/>
    <w:rsid w:val="00900191"/>
    <w:rsid w:val="0090035C"/>
    <w:rsid w:val="00900544"/>
    <w:rsid w:val="00900563"/>
    <w:rsid w:val="00900C15"/>
    <w:rsid w:val="00901DE6"/>
    <w:rsid w:val="0090216C"/>
    <w:rsid w:val="0090295A"/>
    <w:rsid w:val="00902D68"/>
    <w:rsid w:val="00903634"/>
    <w:rsid w:val="00903F82"/>
    <w:rsid w:val="0090439D"/>
    <w:rsid w:val="00904855"/>
    <w:rsid w:val="00905EAC"/>
    <w:rsid w:val="0090650F"/>
    <w:rsid w:val="00906D0F"/>
    <w:rsid w:val="00907366"/>
    <w:rsid w:val="00907692"/>
    <w:rsid w:val="00907D15"/>
    <w:rsid w:val="009108BD"/>
    <w:rsid w:val="00910C50"/>
    <w:rsid w:val="00911322"/>
    <w:rsid w:val="009116E1"/>
    <w:rsid w:val="009119C9"/>
    <w:rsid w:val="00911DB0"/>
    <w:rsid w:val="00912D10"/>
    <w:rsid w:val="00913A6D"/>
    <w:rsid w:val="00914277"/>
    <w:rsid w:val="00914B74"/>
    <w:rsid w:val="00914CBC"/>
    <w:rsid w:val="00915575"/>
    <w:rsid w:val="00915DB1"/>
    <w:rsid w:val="0091681A"/>
    <w:rsid w:val="00916993"/>
    <w:rsid w:val="00916BE1"/>
    <w:rsid w:val="00917771"/>
    <w:rsid w:val="009201F9"/>
    <w:rsid w:val="00921346"/>
    <w:rsid w:val="00921AC3"/>
    <w:rsid w:val="00922536"/>
    <w:rsid w:val="00923064"/>
    <w:rsid w:val="009236C1"/>
    <w:rsid w:val="00923A99"/>
    <w:rsid w:val="00923CA5"/>
    <w:rsid w:val="0092487A"/>
    <w:rsid w:val="00924BB7"/>
    <w:rsid w:val="00924C6C"/>
    <w:rsid w:val="009255B7"/>
    <w:rsid w:val="0092567F"/>
    <w:rsid w:val="00925B7B"/>
    <w:rsid w:val="00926481"/>
    <w:rsid w:val="00927368"/>
    <w:rsid w:val="00927778"/>
    <w:rsid w:val="00927843"/>
    <w:rsid w:val="00927FA0"/>
    <w:rsid w:val="009308C0"/>
    <w:rsid w:val="00931304"/>
    <w:rsid w:val="009314D2"/>
    <w:rsid w:val="00931D05"/>
    <w:rsid w:val="00932106"/>
    <w:rsid w:val="00933310"/>
    <w:rsid w:val="00933870"/>
    <w:rsid w:val="00933BB8"/>
    <w:rsid w:val="00935070"/>
    <w:rsid w:val="00935EA0"/>
    <w:rsid w:val="00936389"/>
    <w:rsid w:val="009363D6"/>
    <w:rsid w:val="00937585"/>
    <w:rsid w:val="00937C4F"/>
    <w:rsid w:val="00937F1F"/>
    <w:rsid w:val="00940C62"/>
    <w:rsid w:val="009411DA"/>
    <w:rsid w:val="00941D6C"/>
    <w:rsid w:val="00942591"/>
    <w:rsid w:val="00942C48"/>
    <w:rsid w:val="00942E71"/>
    <w:rsid w:val="009438AC"/>
    <w:rsid w:val="00943BA7"/>
    <w:rsid w:val="00944ADE"/>
    <w:rsid w:val="00944C1C"/>
    <w:rsid w:val="00944D40"/>
    <w:rsid w:val="00945569"/>
    <w:rsid w:val="009457DE"/>
    <w:rsid w:val="0094592E"/>
    <w:rsid w:val="00945B85"/>
    <w:rsid w:val="00946301"/>
    <w:rsid w:val="009468DA"/>
    <w:rsid w:val="00946BB7"/>
    <w:rsid w:val="00946D9A"/>
    <w:rsid w:val="00946E2C"/>
    <w:rsid w:val="00947FD9"/>
    <w:rsid w:val="00950102"/>
    <w:rsid w:val="00950B16"/>
    <w:rsid w:val="00951190"/>
    <w:rsid w:val="00951590"/>
    <w:rsid w:val="00952D71"/>
    <w:rsid w:val="00954257"/>
    <w:rsid w:val="009545AC"/>
    <w:rsid w:val="00955409"/>
    <w:rsid w:val="00955B97"/>
    <w:rsid w:val="00955DFA"/>
    <w:rsid w:val="009562C2"/>
    <w:rsid w:val="00956308"/>
    <w:rsid w:val="00956578"/>
    <w:rsid w:val="00956EBC"/>
    <w:rsid w:val="009578F8"/>
    <w:rsid w:val="00957A96"/>
    <w:rsid w:val="009605A3"/>
    <w:rsid w:val="009612C8"/>
    <w:rsid w:val="00961999"/>
    <w:rsid w:val="00961CB4"/>
    <w:rsid w:val="00962E99"/>
    <w:rsid w:val="00962F35"/>
    <w:rsid w:val="0096322C"/>
    <w:rsid w:val="009639F3"/>
    <w:rsid w:val="009655E9"/>
    <w:rsid w:val="009662C6"/>
    <w:rsid w:val="00966507"/>
    <w:rsid w:val="0096698D"/>
    <w:rsid w:val="00967447"/>
    <w:rsid w:val="00967630"/>
    <w:rsid w:val="00967696"/>
    <w:rsid w:val="009677A0"/>
    <w:rsid w:val="009706AC"/>
    <w:rsid w:val="00971588"/>
    <w:rsid w:val="00971A4E"/>
    <w:rsid w:val="00973146"/>
    <w:rsid w:val="009737D9"/>
    <w:rsid w:val="0097611D"/>
    <w:rsid w:val="009767DF"/>
    <w:rsid w:val="009770A9"/>
    <w:rsid w:val="0097727C"/>
    <w:rsid w:val="00980432"/>
    <w:rsid w:val="0098085F"/>
    <w:rsid w:val="00980BAE"/>
    <w:rsid w:val="009826EC"/>
    <w:rsid w:val="00982701"/>
    <w:rsid w:val="00982C78"/>
    <w:rsid w:val="00983564"/>
    <w:rsid w:val="009837B7"/>
    <w:rsid w:val="00983F9F"/>
    <w:rsid w:val="00984280"/>
    <w:rsid w:val="00985162"/>
    <w:rsid w:val="00985386"/>
    <w:rsid w:val="009858FE"/>
    <w:rsid w:val="00985B12"/>
    <w:rsid w:val="00985D31"/>
    <w:rsid w:val="009864F8"/>
    <w:rsid w:val="009907F7"/>
    <w:rsid w:val="00990B4C"/>
    <w:rsid w:val="00991555"/>
    <w:rsid w:val="00991AC3"/>
    <w:rsid w:val="00992078"/>
    <w:rsid w:val="009922E2"/>
    <w:rsid w:val="009926EB"/>
    <w:rsid w:val="009928C8"/>
    <w:rsid w:val="00993404"/>
    <w:rsid w:val="00993586"/>
    <w:rsid w:val="00995650"/>
    <w:rsid w:val="0099682A"/>
    <w:rsid w:val="00996D05"/>
    <w:rsid w:val="00997CA6"/>
    <w:rsid w:val="009A09DF"/>
    <w:rsid w:val="009A12A4"/>
    <w:rsid w:val="009A1302"/>
    <w:rsid w:val="009A1EBB"/>
    <w:rsid w:val="009A3761"/>
    <w:rsid w:val="009A3DFE"/>
    <w:rsid w:val="009A3FEB"/>
    <w:rsid w:val="009A4134"/>
    <w:rsid w:val="009A4286"/>
    <w:rsid w:val="009A4785"/>
    <w:rsid w:val="009A53C1"/>
    <w:rsid w:val="009A5849"/>
    <w:rsid w:val="009A5A0C"/>
    <w:rsid w:val="009A5E8D"/>
    <w:rsid w:val="009A6C57"/>
    <w:rsid w:val="009A7910"/>
    <w:rsid w:val="009A7A95"/>
    <w:rsid w:val="009A7B00"/>
    <w:rsid w:val="009A7B21"/>
    <w:rsid w:val="009B2F89"/>
    <w:rsid w:val="009B32A8"/>
    <w:rsid w:val="009B357B"/>
    <w:rsid w:val="009B36E5"/>
    <w:rsid w:val="009B3B8F"/>
    <w:rsid w:val="009B4CB6"/>
    <w:rsid w:val="009B4E41"/>
    <w:rsid w:val="009B5338"/>
    <w:rsid w:val="009B6308"/>
    <w:rsid w:val="009B71E8"/>
    <w:rsid w:val="009B729C"/>
    <w:rsid w:val="009B7676"/>
    <w:rsid w:val="009C0444"/>
    <w:rsid w:val="009C079E"/>
    <w:rsid w:val="009C0DAA"/>
    <w:rsid w:val="009C16B6"/>
    <w:rsid w:val="009C1FBF"/>
    <w:rsid w:val="009C22A9"/>
    <w:rsid w:val="009C24FC"/>
    <w:rsid w:val="009C2E0C"/>
    <w:rsid w:val="009C302E"/>
    <w:rsid w:val="009C312B"/>
    <w:rsid w:val="009C4438"/>
    <w:rsid w:val="009C45D7"/>
    <w:rsid w:val="009C5EC7"/>
    <w:rsid w:val="009C699E"/>
    <w:rsid w:val="009C69B4"/>
    <w:rsid w:val="009C7234"/>
    <w:rsid w:val="009C7927"/>
    <w:rsid w:val="009D0385"/>
    <w:rsid w:val="009D197B"/>
    <w:rsid w:val="009D20B8"/>
    <w:rsid w:val="009D3012"/>
    <w:rsid w:val="009D3936"/>
    <w:rsid w:val="009D4024"/>
    <w:rsid w:val="009D41B3"/>
    <w:rsid w:val="009D461F"/>
    <w:rsid w:val="009D4671"/>
    <w:rsid w:val="009D4CE2"/>
    <w:rsid w:val="009D5AFD"/>
    <w:rsid w:val="009D61F5"/>
    <w:rsid w:val="009D6705"/>
    <w:rsid w:val="009D67F2"/>
    <w:rsid w:val="009D6E5F"/>
    <w:rsid w:val="009D7E2E"/>
    <w:rsid w:val="009E0D94"/>
    <w:rsid w:val="009E10DB"/>
    <w:rsid w:val="009E2201"/>
    <w:rsid w:val="009E289D"/>
    <w:rsid w:val="009E3BE1"/>
    <w:rsid w:val="009E41EC"/>
    <w:rsid w:val="009E43BF"/>
    <w:rsid w:val="009E44D0"/>
    <w:rsid w:val="009E50CF"/>
    <w:rsid w:val="009E5D2B"/>
    <w:rsid w:val="009E5ED5"/>
    <w:rsid w:val="009E6299"/>
    <w:rsid w:val="009E661D"/>
    <w:rsid w:val="009F1AD8"/>
    <w:rsid w:val="009F2632"/>
    <w:rsid w:val="009F29ED"/>
    <w:rsid w:val="009F2F50"/>
    <w:rsid w:val="009F30BB"/>
    <w:rsid w:val="009F32D9"/>
    <w:rsid w:val="009F3434"/>
    <w:rsid w:val="009F497D"/>
    <w:rsid w:val="009F51DC"/>
    <w:rsid w:val="009F657F"/>
    <w:rsid w:val="009F6712"/>
    <w:rsid w:val="009F6A10"/>
    <w:rsid w:val="009F7D74"/>
    <w:rsid w:val="00A00C48"/>
    <w:rsid w:val="00A00CAF"/>
    <w:rsid w:val="00A01A03"/>
    <w:rsid w:val="00A01D64"/>
    <w:rsid w:val="00A02124"/>
    <w:rsid w:val="00A03436"/>
    <w:rsid w:val="00A035A7"/>
    <w:rsid w:val="00A03ECA"/>
    <w:rsid w:val="00A0422D"/>
    <w:rsid w:val="00A052B0"/>
    <w:rsid w:val="00A056E1"/>
    <w:rsid w:val="00A05A8E"/>
    <w:rsid w:val="00A069A7"/>
    <w:rsid w:val="00A06FC2"/>
    <w:rsid w:val="00A07280"/>
    <w:rsid w:val="00A07949"/>
    <w:rsid w:val="00A10CD8"/>
    <w:rsid w:val="00A111EA"/>
    <w:rsid w:val="00A1180B"/>
    <w:rsid w:val="00A119B7"/>
    <w:rsid w:val="00A11CB5"/>
    <w:rsid w:val="00A11E5C"/>
    <w:rsid w:val="00A12F51"/>
    <w:rsid w:val="00A13B24"/>
    <w:rsid w:val="00A14713"/>
    <w:rsid w:val="00A1509E"/>
    <w:rsid w:val="00A15F7C"/>
    <w:rsid w:val="00A160FD"/>
    <w:rsid w:val="00A161CD"/>
    <w:rsid w:val="00A16563"/>
    <w:rsid w:val="00A168CB"/>
    <w:rsid w:val="00A16D08"/>
    <w:rsid w:val="00A17AF9"/>
    <w:rsid w:val="00A20161"/>
    <w:rsid w:val="00A2030D"/>
    <w:rsid w:val="00A20AF4"/>
    <w:rsid w:val="00A21BE7"/>
    <w:rsid w:val="00A21E64"/>
    <w:rsid w:val="00A223C9"/>
    <w:rsid w:val="00A2279F"/>
    <w:rsid w:val="00A238C4"/>
    <w:rsid w:val="00A24503"/>
    <w:rsid w:val="00A25879"/>
    <w:rsid w:val="00A26368"/>
    <w:rsid w:val="00A26BBA"/>
    <w:rsid w:val="00A30211"/>
    <w:rsid w:val="00A32210"/>
    <w:rsid w:val="00A32F14"/>
    <w:rsid w:val="00A333BA"/>
    <w:rsid w:val="00A35B35"/>
    <w:rsid w:val="00A37AA6"/>
    <w:rsid w:val="00A4047A"/>
    <w:rsid w:val="00A406CD"/>
    <w:rsid w:val="00A40A01"/>
    <w:rsid w:val="00A40A4B"/>
    <w:rsid w:val="00A40F5B"/>
    <w:rsid w:val="00A40F5D"/>
    <w:rsid w:val="00A410DB"/>
    <w:rsid w:val="00A4190A"/>
    <w:rsid w:val="00A41A72"/>
    <w:rsid w:val="00A41EEE"/>
    <w:rsid w:val="00A44209"/>
    <w:rsid w:val="00A44E41"/>
    <w:rsid w:val="00A4501E"/>
    <w:rsid w:val="00A47800"/>
    <w:rsid w:val="00A47B28"/>
    <w:rsid w:val="00A502F5"/>
    <w:rsid w:val="00A510D1"/>
    <w:rsid w:val="00A51177"/>
    <w:rsid w:val="00A518A1"/>
    <w:rsid w:val="00A521AB"/>
    <w:rsid w:val="00A52560"/>
    <w:rsid w:val="00A52648"/>
    <w:rsid w:val="00A52EDF"/>
    <w:rsid w:val="00A52F2C"/>
    <w:rsid w:val="00A5368D"/>
    <w:rsid w:val="00A538BF"/>
    <w:rsid w:val="00A53FBC"/>
    <w:rsid w:val="00A549EC"/>
    <w:rsid w:val="00A571F4"/>
    <w:rsid w:val="00A5739F"/>
    <w:rsid w:val="00A57824"/>
    <w:rsid w:val="00A57925"/>
    <w:rsid w:val="00A57C2B"/>
    <w:rsid w:val="00A57C4F"/>
    <w:rsid w:val="00A57E16"/>
    <w:rsid w:val="00A613E3"/>
    <w:rsid w:val="00A61FCA"/>
    <w:rsid w:val="00A6305B"/>
    <w:rsid w:val="00A633A7"/>
    <w:rsid w:val="00A63798"/>
    <w:rsid w:val="00A6386B"/>
    <w:rsid w:val="00A63C93"/>
    <w:rsid w:val="00A63CE3"/>
    <w:rsid w:val="00A640B9"/>
    <w:rsid w:val="00A64D87"/>
    <w:rsid w:val="00A6549C"/>
    <w:rsid w:val="00A657E5"/>
    <w:rsid w:val="00A662CF"/>
    <w:rsid w:val="00A6666B"/>
    <w:rsid w:val="00A66BB9"/>
    <w:rsid w:val="00A67770"/>
    <w:rsid w:val="00A67F76"/>
    <w:rsid w:val="00A70001"/>
    <w:rsid w:val="00A7013E"/>
    <w:rsid w:val="00A711A6"/>
    <w:rsid w:val="00A719C5"/>
    <w:rsid w:val="00A71C76"/>
    <w:rsid w:val="00A72224"/>
    <w:rsid w:val="00A72790"/>
    <w:rsid w:val="00A73772"/>
    <w:rsid w:val="00A738BD"/>
    <w:rsid w:val="00A73993"/>
    <w:rsid w:val="00A73DCA"/>
    <w:rsid w:val="00A748A7"/>
    <w:rsid w:val="00A75140"/>
    <w:rsid w:val="00A75498"/>
    <w:rsid w:val="00A75A64"/>
    <w:rsid w:val="00A75B27"/>
    <w:rsid w:val="00A76251"/>
    <w:rsid w:val="00A7625C"/>
    <w:rsid w:val="00A7782B"/>
    <w:rsid w:val="00A778FD"/>
    <w:rsid w:val="00A80709"/>
    <w:rsid w:val="00A81CA0"/>
    <w:rsid w:val="00A8274D"/>
    <w:rsid w:val="00A833DE"/>
    <w:rsid w:val="00A835B6"/>
    <w:rsid w:val="00A83DF1"/>
    <w:rsid w:val="00A83F46"/>
    <w:rsid w:val="00A85078"/>
    <w:rsid w:val="00A859EB"/>
    <w:rsid w:val="00A8686A"/>
    <w:rsid w:val="00A875D1"/>
    <w:rsid w:val="00A87D6F"/>
    <w:rsid w:val="00A9073C"/>
    <w:rsid w:val="00A91551"/>
    <w:rsid w:val="00A927D7"/>
    <w:rsid w:val="00A93CF2"/>
    <w:rsid w:val="00A9483D"/>
    <w:rsid w:val="00A95A0B"/>
    <w:rsid w:val="00A95A26"/>
    <w:rsid w:val="00A975D1"/>
    <w:rsid w:val="00A9797F"/>
    <w:rsid w:val="00A97B5C"/>
    <w:rsid w:val="00AA0452"/>
    <w:rsid w:val="00AA2022"/>
    <w:rsid w:val="00AA2314"/>
    <w:rsid w:val="00AA3CA7"/>
    <w:rsid w:val="00AA4564"/>
    <w:rsid w:val="00AA476B"/>
    <w:rsid w:val="00AA4EAD"/>
    <w:rsid w:val="00AA512D"/>
    <w:rsid w:val="00AA5ADD"/>
    <w:rsid w:val="00AA5DF9"/>
    <w:rsid w:val="00AA63B5"/>
    <w:rsid w:val="00AA68C4"/>
    <w:rsid w:val="00AA6AFF"/>
    <w:rsid w:val="00AA6E00"/>
    <w:rsid w:val="00AB0D98"/>
    <w:rsid w:val="00AB0FEB"/>
    <w:rsid w:val="00AB1476"/>
    <w:rsid w:val="00AB1781"/>
    <w:rsid w:val="00AB1870"/>
    <w:rsid w:val="00AB194E"/>
    <w:rsid w:val="00AB2664"/>
    <w:rsid w:val="00AB345F"/>
    <w:rsid w:val="00AB34BB"/>
    <w:rsid w:val="00AB37B8"/>
    <w:rsid w:val="00AB4F7E"/>
    <w:rsid w:val="00AB611A"/>
    <w:rsid w:val="00AB78EB"/>
    <w:rsid w:val="00AC0B48"/>
    <w:rsid w:val="00AC0C67"/>
    <w:rsid w:val="00AC130A"/>
    <w:rsid w:val="00AC380D"/>
    <w:rsid w:val="00AC3FD6"/>
    <w:rsid w:val="00AC4BED"/>
    <w:rsid w:val="00AC4F0B"/>
    <w:rsid w:val="00AC550D"/>
    <w:rsid w:val="00AC5836"/>
    <w:rsid w:val="00AC5DCE"/>
    <w:rsid w:val="00AC6215"/>
    <w:rsid w:val="00AC7455"/>
    <w:rsid w:val="00AC76AF"/>
    <w:rsid w:val="00AC7DE5"/>
    <w:rsid w:val="00AD02D7"/>
    <w:rsid w:val="00AD0335"/>
    <w:rsid w:val="00AD0C49"/>
    <w:rsid w:val="00AD1050"/>
    <w:rsid w:val="00AD18B8"/>
    <w:rsid w:val="00AD2361"/>
    <w:rsid w:val="00AD2897"/>
    <w:rsid w:val="00AD2C53"/>
    <w:rsid w:val="00AD308A"/>
    <w:rsid w:val="00AD3862"/>
    <w:rsid w:val="00AD388B"/>
    <w:rsid w:val="00AD391B"/>
    <w:rsid w:val="00AD4020"/>
    <w:rsid w:val="00AD4048"/>
    <w:rsid w:val="00AD43C9"/>
    <w:rsid w:val="00AD43F4"/>
    <w:rsid w:val="00AD4775"/>
    <w:rsid w:val="00AD48D2"/>
    <w:rsid w:val="00AD4A0B"/>
    <w:rsid w:val="00AD4DAB"/>
    <w:rsid w:val="00AD5AF3"/>
    <w:rsid w:val="00AD5E7E"/>
    <w:rsid w:val="00AD5F61"/>
    <w:rsid w:val="00AD6128"/>
    <w:rsid w:val="00AD7065"/>
    <w:rsid w:val="00AE23B1"/>
    <w:rsid w:val="00AE23D0"/>
    <w:rsid w:val="00AE260B"/>
    <w:rsid w:val="00AE2CEA"/>
    <w:rsid w:val="00AE3C55"/>
    <w:rsid w:val="00AE553E"/>
    <w:rsid w:val="00AE57C8"/>
    <w:rsid w:val="00AE5811"/>
    <w:rsid w:val="00AE606E"/>
    <w:rsid w:val="00AE63EA"/>
    <w:rsid w:val="00AE69C9"/>
    <w:rsid w:val="00AE7527"/>
    <w:rsid w:val="00AE7565"/>
    <w:rsid w:val="00AE7C12"/>
    <w:rsid w:val="00AF0BF5"/>
    <w:rsid w:val="00AF38ED"/>
    <w:rsid w:val="00AF39A6"/>
    <w:rsid w:val="00AF447A"/>
    <w:rsid w:val="00AF4CB2"/>
    <w:rsid w:val="00AF4E9F"/>
    <w:rsid w:val="00AF504C"/>
    <w:rsid w:val="00AF517D"/>
    <w:rsid w:val="00AF5A00"/>
    <w:rsid w:val="00AF64BA"/>
    <w:rsid w:val="00AF69B0"/>
    <w:rsid w:val="00AF6D1A"/>
    <w:rsid w:val="00AF70DE"/>
    <w:rsid w:val="00AF72CE"/>
    <w:rsid w:val="00AF7CD7"/>
    <w:rsid w:val="00AF7F16"/>
    <w:rsid w:val="00B004D5"/>
    <w:rsid w:val="00B00FA3"/>
    <w:rsid w:val="00B0282C"/>
    <w:rsid w:val="00B02DB6"/>
    <w:rsid w:val="00B02E4E"/>
    <w:rsid w:val="00B02EE3"/>
    <w:rsid w:val="00B0382A"/>
    <w:rsid w:val="00B04976"/>
    <w:rsid w:val="00B04B72"/>
    <w:rsid w:val="00B04FFE"/>
    <w:rsid w:val="00B054D7"/>
    <w:rsid w:val="00B06028"/>
    <w:rsid w:val="00B06B12"/>
    <w:rsid w:val="00B07CA7"/>
    <w:rsid w:val="00B1084F"/>
    <w:rsid w:val="00B10F97"/>
    <w:rsid w:val="00B1115F"/>
    <w:rsid w:val="00B1194A"/>
    <w:rsid w:val="00B11B6C"/>
    <w:rsid w:val="00B11CD1"/>
    <w:rsid w:val="00B123FE"/>
    <w:rsid w:val="00B12A80"/>
    <w:rsid w:val="00B136AD"/>
    <w:rsid w:val="00B1411B"/>
    <w:rsid w:val="00B169ED"/>
    <w:rsid w:val="00B208DF"/>
    <w:rsid w:val="00B2123A"/>
    <w:rsid w:val="00B21422"/>
    <w:rsid w:val="00B214D1"/>
    <w:rsid w:val="00B21DB1"/>
    <w:rsid w:val="00B238A4"/>
    <w:rsid w:val="00B25B7A"/>
    <w:rsid w:val="00B25F01"/>
    <w:rsid w:val="00B267FA"/>
    <w:rsid w:val="00B26AD2"/>
    <w:rsid w:val="00B26D39"/>
    <w:rsid w:val="00B27278"/>
    <w:rsid w:val="00B30727"/>
    <w:rsid w:val="00B30F22"/>
    <w:rsid w:val="00B312F7"/>
    <w:rsid w:val="00B32ABC"/>
    <w:rsid w:val="00B334B3"/>
    <w:rsid w:val="00B3398D"/>
    <w:rsid w:val="00B34622"/>
    <w:rsid w:val="00B347D4"/>
    <w:rsid w:val="00B34AF1"/>
    <w:rsid w:val="00B35872"/>
    <w:rsid w:val="00B367C1"/>
    <w:rsid w:val="00B369AC"/>
    <w:rsid w:val="00B36F8E"/>
    <w:rsid w:val="00B377BE"/>
    <w:rsid w:val="00B37CF9"/>
    <w:rsid w:val="00B400C6"/>
    <w:rsid w:val="00B411EA"/>
    <w:rsid w:val="00B41418"/>
    <w:rsid w:val="00B41E87"/>
    <w:rsid w:val="00B423A7"/>
    <w:rsid w:val="00B42AFA"/>
    <w:rsid w:val="00B42B27"/>
    <w:rsid w:val="00B43047"/>
    <w:rsid w:val="00B44BAB"/>
    <w:rsid w:val="00B4561A"/>
    <w:rsid w:val="00B456D3"/>
    <w:rsid w:val="00B45D68"/>
    <w:rsid w:val="00B462F3"/>
    <w:rsid w:val="00B463E6"/>
    <w:rsid w:val="00B464B1"/>
    <w:rsid w:val="00B46DA6"/>
    <w:rsid w:val="00B46EF5"/>
    <w:rsid w:val="00B475AF"/>
    <w:rsid w:val="00B47828"/>
    <w:rsid w:val="00B5056A"/>
    <w:rsid w:val="00B5098C"/>
    <w:rsid w:val="00B52A1F"/>
    <w:rsid w:val="00B52A71"/>
    <w:rsid w:val="00B54387"/>
    <w:rsid w:val="00B55110"/>
    <w:rsid w:val="00B55E98"/>
    <w:rsid w:val="00B56304"/>
    <w:rsid w:val="00B5664A"/>
    <w:rsid w:val="00B5678D"/>
    <w:rsid w:val="00B5736B"/>
    <w:rsid w:val="00B57666"/>
    <w:rsid w:val="00B57B25"/>
    <w:rsid w:val="00B57C09"/>
    <w:rsid w:val="00B57D20"/>
    <w:rsid w:val="00B60CC6"/>
    <w:rsid w:val="00B61698"/>
    <w:rsid w:val="00B61E7D"/>
    <w:rsid w:val="00B62D28"/>
    <w:rsid w:val="00B62D9B"/>
    <w:rsid w:val="00B637C8"/>
    <w:rsid w:val="00B64034"/>
    <w:rsid w:val="00B6445E"/>
    <w:rsid w:val="00B646BB"/>
    <w:rsid w:val="00B65A2E"/>
    <w:rsid w:val="00B65C15"/>
    <w:rsid w:val="00B663CE"/>
    <w:rsid w:val="00B67141"/>
    <w:rsid w:val="00B706F6"/>
    <w:rsid w:val="00B70EC2"/>
    <w:rsid w:val="00B71041"/>
    <w:rsid w:val="00B71C6C"/>
    <w:rsid w:val="00B72249"/>
    <w:rsid w:val="00B728AD"/>
    <w:rsid w:val="00B72C9E"/>
    <w:rsid w:val="00B73DEE"/>
    <w:rsid w:val="00B73F1F"/>
    <w:rsid w:val="00B754F4"/>
    <w:rsid w:val="00B75773"/>
    <w:rsid w:val="00B75A1E"/>
    <w:rsid w:val="00B75C40"/>
    <w:rsid w:val="00B75E16"/>
    <w:rsid w:val="00B764B2"/>
    <w:rsid w:val="00B764DB"/>
    <w:rsid w:val="00B774F7"/>
    <w:rsid w:val="00B802AA"/>
    <w:rsid w:val="00B83200"/>
    <w:rsid w:val="00B8326D"/>
    <w:rsid w:val="00B8495B"/>
    <w:rsid w:val="00B863AD"/>
    <w:rsid w:val="00B864BC"/>
    <w:rsid w:val="00B8679D"/>
    <w:rsid w:val="00B86C3A"/>
    <w:rsid w:val="00B86F1D"/>
    <w:rsid w:val="00B87217"/>
    <w:rsid w:val="00B87AB1"/>
    <w:rsid w:val="00B9019D"/>
    <w:rsid w:val="00B90C2F"/>
    <w:rsid w:val="00B90F77"/>
    <w:rsid w:val="00B91E5B"/>
    <w:rsid w:val="00B92A02"/>
    <w:rsid w:val="00B9315D"/>
    <w:rsid w:val="00B9412F"/>
    <w:rsid w:val="00B94411"/>
    <w:rsid w:val="00B9477A"/>
    <w:rsid w:val="00B94B5E"/>
    <w:rsid w:val="00B951F3"/>
    <w:rsid w:val="00B95339"/>
    <w:rsid w:val="00B954F0"/>
    <w:rsid w:val="00B96486"/>
    <w:rsid w:val="00B96C28"/>
    <w:rsid w:val="00B96CDC"/>
    <w:rsid w:val="00B96D9D"/>
    <w:rsid w:val="00B977FF"/>
    <w:rsid w:val="00B979CA"/>
    <w:rsid w:val="00BA0652"/>
    <w:rsid w:val="00BA1874"/>
    <w:rsid w:val="00BA26E3"/>
    <w:rsid w:val="00BA289C"/>
    <w:rsid w:val="00BA2E13"/>
    <w:rsid w:val="00BA407B"/>
    <w:rsid w:val="00BA4360"/>
    <w:rsid w:val="00BA46FC"/>
    <w:rsid w:val="00BA5344"/>
    <w:rsid w:val="00BA568C"/>
    <w:rsid w:val="00BA5FE7"/>
    <w:rsid w:val="00BA68A2"/>
    <w:rsid w:val="00BA78EB"/>
    <w:rsid w:val="00BB0B5A"/>
    <w:rsid w:val="00BB1197"/>
    <w:rsid w:val="00BB1FFF"/>
    <w:rsid w:val="00BB26C1"/>
    <w:rsid w:val="00BB2AEE"/>
    <w:rsid w:val="00BB3391"/>
    <w:rsid w:val="00BB371B"/>
    <w:rsid w:val="00BB3ABF"/>
    <w:rsid w:val="00BB3EB7"/>
    <w:rsid w:val="00BB4754"/>
    <w:rsid w:val="00BB4D83"/>
    <w:rsid w:val="00BB5068"/>
    <w:rsid w:val="00BB519E"/>
    <w:rsid w:val="00BB5A54"/>
    <w:rsid w:val="00BB5A6E"/>
    <w:rsid w:val="00BB6027"/>
    <w:rsid w:val="00BB7267"/>
    <w:rsid w:val="00BB7724"/>
    <w:rsid w:val="00BB77B2"/>
    <w:rsid w:val="00BB788F"/>
    <w:rsid w:val="00BB7A46"/>
    <w:rsid w:val="00BC1605"/>
    <w:rsid w:val="00BC180C"/>
    <w:rsid w:val="00BC2FE0"/>
    <w:rsid w:val="00BC40ED"/>
    <w:rsid w:val="00BC50A3"/>
    <w:rsid w:val="00BC570D"/>
    <w:rsid w:val="00BC5922"/>
    <w:rsid w:val="00BC5BAA"/>
    <w:rsid w:val="00BC612E"/>
    <w:rsid w:val="00BC6BFA"/>
    <w:rsid w:val="00BC6D1B"/>
    <w:rsid w:val="00BC6EB0"/>
    <w:rsid w:val="00BD08DA"/>
    <w:rsid w:val="00BD0AD1"/>
    <w:rsid w:val="00BD0E09"/>
    <w:rsid w:val="00BD18F5"/>
    <w:rsid w:val="00BD2678"/>
    <w:rsid w:val="00BD343A"/>
    <w:rsid w:val="00BD37E1"/>
    <w:rsid w:val="00BD539C"/>
    <w:rsid w:val="00BD6457"/>
    <w:rsid w:val="00BD66DB"/>
    <w:rsid w:val="00BD6E99"/>
    <w:rsid w:val="00BE1DF6"/>
    <w:rsid w:val="00BE3375"/>
    <w:rsid w:val="00BE33B6"/>
    <w:rsid w:val="00BE40AD"/>
    <w:rsid w:val="00BE5666"/>
    <w:rsid w:val="00BE5A80"/>
    <w:rsid w:val="00BE5F34"/>
    <w:rsid w:val="00BE632C"/>
    <w:rsid w:val="00BE7569"/>
    <w:rsid w:val="00BE7A58"/>
    <w:rsid w:val="00BE7B34"/>
    <w:rsid w:val="00BF076A"/>
    <w:rsid w:val="00BF0913"/>
    <w:rsid w:val="00BF098A"/>
    <w:rsid w:val="00BF2528"/>
    <w:rsid w:val="00BF26C4"/>
    <w:rsid w:val="00BF3E81"/>
    <w:rsid w:val="00BF45F8"/>
    <w:rsid w:val="00BF489A"/>
    <w:rsid w:val="00BF496B"/>
    <w:rsid w:val="00BF4B23"/>
    <w:rsid w:val="00BF542F"/>
    <w:rsid w:val="00BF5840"/>
    <w:rsid w:val="00BF5E89"/>
    <w:rsid w:val="00BF5F2A"/>
    <w:rsid w:val="00BF642A"/>
    <w:rsid w:val="00BF6529"/>
    <w:rsid w:val="00BF6CD4"/>
    <w:rsid w:val="00C00D25"/>
    <w:rsid w:val="00C00E8E"/>
    <w:rsid w:val="00C00EEF"/>
    <w:rsid w:val="00C015B1"/>
    <w:rsid w:val="00C01619"/>
    <w:rsid w:val="00C02676"/>
    <w:rsid w:val="00C03887"/>
    <w:rsid w:val="00C03958"/>
    <w:rsid w:val="00C03CD5"/>
    <w:rsid w:val="00C0489F"/>
    <w:rsid w:val="00C04D0A"/>
    <w:rsid w:val="00C04D39"/>
    <w:rsid w:val="00C04FF6"/>
    <w:rsid w:val="00C05A26"/>
    <w:rsid w:val="00C05B7B"/>
    <w:rsid w:val="00C07434"/>
    <w:rsid w:val="00C10CAC"/>
    <w:rsid w:val="00C1150B"/>
    <w:rsid w:val="00C129B2"/>
    <w:rsid w:val="00C12C60"/>
    <w:rsid w:val="00C12CA0"/>
    <w:rsid w:val="00C13109"/>
    <w:rsid w:val="00C137CA"/>
    <w:rsid w:val="00C138C1"/>
    <w:rsid w:val="00C13C7E"/>
    <w:rsid w:val="00C13CA8"/>
    <w:rsid w:val="00C1479B"/>
    <w:rsid w:val="00C151C2"/>
    <w:rsid w:val="00C15347"/>
    <w:rsid w:val="00C15A63"/>
    <w:rsid w:val="00C15C22"/>
    <w:rsid w:val="00C15D48"/>
    <w:rsid w:val="00C1686C"/>
    <w:rsid w:val="00C17F8C"/>
    <w:rsid w:val="00C200C1"/>
    <w:rsid w:val="00C20384"/>
    <w:rsid w:val="00C20F46"/>
    <w:rsid w:val="00C21014"/>
    <w:rsid w:val="00C2173D"/>
    <w:rsid w:val="00C21D9D"/>
    <w:rsid w:val="00C21DE9"/>
    <w:rsid w:val="00C2216E"/>
    <w:rsid w:val="00C22753"/>
    <w:rsid w:val="00C23480"/>
    <w:rsid w:val="00C23AB9"/>
    <w:rsid w:val="00C24109"/>
    <w:rsid w:val="00C2421A"/>
    <w:rsid w:val="00C24AC1"/>
    <w:rsid w:val="00C251C9"/>
    <w:rsid w:val="00C26420"/>
    <w:rsid w:val="00C26800"/>
    <w:rsid w:val="00C26A91"/>
    <w:rsid w:val="00C275D5"/>
    <w:rsid w:val="00C27803"/>
    <w:rsid w:val="00C27F2B"/>
    <w:rsid w:val="00C3087E"/>
    <w:rsid w:val="00C31C42"/>
    <w:rsid w:val="00C32E7C"/>
    <w:rsid w:val="00C32F32"/>
    <w:rsid w:val="00C33535"/>
    <w:rsid w:val="00C33DDA"/>
    <w:rsid w:val="00C3483B"/>
    <w:rsid w:val="00C35002"/>
    <w:rsid w:val="00C35078"/>
    <w:rsid w:val="00C357EF"/>
    <w:rsid w:val="00C35EBD"/>
    <w:rsid w:val="00C35FB5"/>
    <w:rsid w:val="00C364B1"/>
    <w:rsid w:val="00C36551"/>
    <w:rsid w:val="00C36BFB"/>
    <w:rsid w:val="00C36C08"/>
    <w:rsid w:val="00C376D0"/>
    <w:rsid w:val="00C40E69"/>
    <w:rsid w:val="00C41A1B"/>
    <w:rsid w:val="00C41A6E"/>
    <w:rsid w:val="00C42222"/>
    <w:rsid w:val="00C425CC"/>
    <w:rsid w:val="00C428D9"/>
    <w:rsid w:val="00C42CF6"/>
    <w:rsid w:val="00C4332D"/>
    <w:rsid w:val="00C4393C"/>
    <w:rsid w:val="00C43CFF"/>
    <w:rsid w:val="00C446B0"/>
    <w:rsid w:val="00C46118"/>
    <w:rsid w:val="00C46CE7"/>
    <w:rsid w:val="00C46E72"/>
    <w:rsid w:val="00C47630"/>
    <w:rsid w:val="00C47699"/>
    <w:rsid w:val="00C47BF1"/>
    <w:rsid w:val="00C47C13"/>
    <w:rsid w:val="00C50A0A"/>
    <w:rsid w:val="00C5248E"/>
    <w:rsid w:val="00C52A28"/>
    <w:rsid w:val="00C52F00"/>
    <w:rsid w:val="00C53669"/>
    <w:rsid w:val="00C54A90"/>
    <w:rsid w:val="00C55358"/>
    <w:rsid w:val="00C55D3B"/>
    <w:rsid w:val="00C5620F"/>
    <w:rsid w:val="00C563C0"/>
    <w:rsid w:val="00C563D0"/>
    <w:rsid w:val="00C576C0"/>
    <w:rsid w:val="00C576F0"/>
    <w:rsid w:val="00C57BE7"/>
    <w:rsid w:val="00C61464"/>
    <w:rsid w:val="00C6152D"/>
    <w:rsid w:val="00C61C69"/>
    <w:rsid w:val="00C61D10"/>
    <w:rsid w:val="00C6248A"/>
    <w:rsid w:val="00C62D7F"/>
    <w:rsid w:val="00C6353B"/>
    <w:rsid w:val="00C64396"/>
    <w:rsid w:val="00C643BA"/>
    <w:rsid w:val="00C646EF"/>
    <w:rsid w:val="00C6521C"/>
    <w:rsid w:val="00C66368"/>
    <w:rsid w:val="00C6670C"/>
    <w:rsid w:val="00C66776"/>
    <w:rsid w:val="00C67805"/>
    <w:rsid w:val="00C67DA7"/>
    <w:rsid w:val="00C67DFE"/>
    <w:rsid w:val="00C70258"/>
    <w:rsid w:val="00C719E2"/>
    <w:rsid w:val="00C71B48"/>
    <w:rsid w:val="00C71DF7"/>
    <w:rsid w:val="00C71F7C"/>
    <w:rsid w:val="00C72920"/>
    <w:rsid w:val="00C73632"/>
    <w:rsid w:val="00C73805"/>
    <w:rsid w:val="00C739BC"/>
    <w:rsid w:val="00C7413F"/>
    <w:rsid w:val="00C74930"/>
    <w:rsid w:val="00C7526C"/>
    <w:rsid w:val="00C75573"/>
    <w:rsid w:val="00C77ED1"/>
    <w:rsid w:val="00C817F6"/>
    <w:rsid w:val="00C81B2A"/>
    <w:rsid w:val="00C82652"/>
    <w:rsid w:val="00C82AE5"/>
    <w:rsid w:val="00C83730"/>
    <w:rsid w:val="00C83834"/>
    <w:rsid w:val="00C841CF"/>
    <w:rsid w:val="00C851AE"/>
    <w:rsid w:val="00C85716"/>
    <w:rsid w:val="00C863D6"/>
    <w:rsid w:val="00C86407"/>
    <w:rsid w:val="00C869B2"/>
    <w:rsid w:val="00C86A87"/>
    <w:rsid w:val="00C8767C"/>
    <w:rsid w:val="00C87946"/>
    <w:rsid w:val="00C87A9A"/>
    <w:rsid w:val="00C910CA"/>
    <w:rsid w:val="00C91709"/>
    <w:rsid w:val="00C91A38"/>
    <w:rsid w:val="00C91B8B"/>
    <w:rsid w:val="00C92AD2"/>
    <w:rsid w:val="00C9358C"/>
    <w:rsid w:val="00C93BB0"/>
    <w:rsid w:val="00C94F1E"/>
    <w:rsid w:val="00C94F38"/>
    <w:rsid w:val="00C952A2"/>
    <w:rsid w:val="00C95630"/>
    <w:rsid w:val="00C95D0A"/>
    <w:rsid w:val="00C96BE2"/>
    <w:rsid w:val="00C96CCD"/>
    <w:rsid w:val="00C96E27"/>
    <w:rsid w:val="00C96F7A"/>
    <w:rsid w:val="00C97B82"/>
    <w:rsid w:val="00C97FA3"/>
    <w:rsid w:val="00C97FC3"/>
    <w:rsid w:val="00CA056B"/>
    <w:rsid w:val="00CA126B"/>
    <w:rsid w:val="00CA1447"/>
    <w:rsid w:val="00CA15DD"/>
    <w:rsid w:val="00CA1B19"/>
    <w:rsid w:val="00CA3294"/>
    <w:rsid w:val="00CA377F"/>
    <w:rsid w:val="00CA7EB9"/>
    <w:rsid w:val="00CB0529"/>
    <w:rsid w:val="00CB058A"/>
    <w:rsid w:val="00CB059F"/>
    <w:rsid w:val="00CB06D5"/>
    <w:rsid w:val="00CB0B43"/>
    <w:rsid w:val="00CB0D93"/>
    <w:rsid w:val="00CB1819"/>
    <w:rsid w:val="00CB1B96"/>
    <w:rsid w:val="00CB1DFE"/>
    <w:rsid w:val="00CB1EFC"/>
    <w:rsid w:val="00CB2DFE"/>
    <w:rsid w:val="00CB3253"/>
    <w:rsid w:val="00CB391A"/>
    <w:rsid w:val="00CB3B23"/>
    <w:rsid w:val="00CB3DBF"/>
    <w:rsid w:val="00CB42A8"/>
    <w:rsid w:val="00CB56B7"/>
    <w:rsid w:val="00CB5C01"/>
    <w:rsid w:val="00CB6268"/>
    <w:rsid w:val="00CB754B"/>
    <w:rsid w:val="00CB79D8"/>
    <w:rsid w:val="00CC1389"/>
    <w:rsid w:val="00CC1BBC"/>
    <w:rsid w:val="00CC1D76"/>
    <w:rsid w:val="00CC26BA"/>
    <w:rsid w:val="00CC3A55"/>
    <w:rsid w:val="00CC43B8"/>
    <w:rsid w:val="00CC5444"/>
    <w:rsid w:val="00CC5A36"/>
    <w:rsid w:val="00CC5BBE"/>
    <w:rsid w:val="00CC5C8E"/>
    <w:rsid w:val="00CC664E"/>
    <w:rsid w:val="00CC6A5A"/>
    <w:rsid w:val="00CC6FA5"/>
    <w:rsid w:val="00CD1A80"/>
    <w:rsid w:val="00CD1E72"/>
    <w:rsid w:val="00CD2254"/>
    <w:rsid w:val="00CD32B6"/>
    <w:rsid w:val="00CD47E9"/>
    <w:rsid w:val="00CD5C7A"/>
    <w:rsid w:val="00CD5E47"/>
    <w:rsid w:val="00CD5F51"/>
    <w:rsid w:val="00CD6251"/>
    <w:rsid w:val="00CD68F5"/>
    <w:rsid w:val="00CD6B97"/>
    <w:rsid w:val="00CD6E3F"/>
    <w:rsid w:val="00CE0579"/>
    <w:rsid w:val="00CE1884"/>
    <w:rsid w:val="00CE18F4"/>
    <w:rsid w:val="00CE1A90"/>
    <w:rsid w:val="00CE1ED3"/>
    <w:rsid w:val="00CE2C6C"/>
    <w:rsid w:val="00CE2D5D"/>
    <w:rsid w:val="00CE3081"/>
    <w:rsid w:val="00CE45C1"/>
    <w:rsid w:val="00CE462F"/>
    <w:rsid w:val="00CE4968"/>
    <w:rsid w:val="00CE50D6"/>
    <w:rsid w:val="00CE5494"/>
    <w:rsid w:val="00CE6519"/>
    <w:rsid w:val="00CE71E0"/>
    <w:rsid w:val="00CE7F21"/>
    <w:rsid w:val="00CF0B36"/>
    <w:rsid w:val="00CF1432"/>
    <w:rsid w:val="00CF2669"/>
    <w:rsid w:val="00CF28BF"/>
    <w:rsid w:val="00CF3409"/>
    <w:rsid w:val="00CF3A43"/>
    <w:rsid w:val="00CF4DF3"/>
    <w:rsid w:val="00CF5868"/>
    <w:rsid w:val="00CF5CB6"/>
    <w:rsid w:val="00CF5F8F"/>
    <w:rsid w:val="00CF64E5"/>
    <w:rsid w:val="00CF65FC"/>
    <w:rsid w:val="00CF67FF"/>
    <w:rsid w:val="00D0128B"/>
    <w:rsid w:val="00D01658"/>
    <w:rsid w:val="00D02101"/>
    <w:rsid w:val="00D0265F"/>
    <w:rsid w:val="00D02A7C"/>
    <w:rsid w:val="00D034D3"/>
    <w:rsid w:val="00D03A54"/>
    <w:rsid w:val="00D03CB0"/>
    <w:rsid w:val="00D03FB8"/>
    <w:rsid w:val="00D05202"/>
    <w:rsid w:val="00D06706"/>
    <w:rsid w:val="00D068C7"/>
    <w:rsid w:val="00D0712D"/>
    <w:rsid w:val="00D10B2A"/>
    <w:rsid w:val="00D1145D"/>
    <w:rsid w:val="00D11870"/>
    <w:rsid w:val="00D125DA"/>
    <w:rsid w:val="00D132BB"/>
    <w:rsid w:val="00D1356F"/>
    <w:rsid w:val="00D137A8"/>
    <w:rsid w:val="00D14BB8"/>
    <w:rsid w:val="00D14CBC"/>
    <w:rsid w:val="00D14D29"/>
    <w:rsid w:val="00D14E11"/>
    <w:rsid w:val="00D152F2"/>
    <w:rsid w:val="00D15A4F"/>
    <w:rsid w:val="00D16274"/>
    <w:rsid w:val="00D1629D"/>
    <w:rsid w:val="00D1712A"/>
    <w:rsid w:val="00D1716D"/>
    <w:rsid w:val="00D17CEA"/>
    <w:rsid w:val="00D17FDF"/>
    <w:rsid w:val="00D17FED"/>
    <w:rsid w:val="00D2093D"/>
    <w:rsid w:val="00D2105E"/>
    <w:rsid w:val="00D23B8C"/>
    <w:rsid w:val="00D24500"/>
    <w:rsid w:val="00D247A7"/>
    <w:rsid w:val="00D24CEF"/>
    <w:rsid w:val="00D24D8A"/>
    <w:rsid w:val="00D2554D"/>
    <w:rsid w:val="00D25830"/>
    <w:rsid w:val="00D263AF"/>
    <w:rsid w:val="00D26A11"/>
    <w:rsid w:val="00D27C0A"/>
    <w:rsid w:val="00D27CE7"/>
    <w:rsid w:val="00D306D1"/>
    <w:rsid w:val="00D310B2"/>
    <w:rsid w:val="00D32809"/>
    <w:rsid w:val="00D33937"/>
    <w:rsid w:val="00D34C32"/>
    <w:rsid w:val="00D3667D"/>
    <w:rsid w:val="00D370E9"/>
    <w:rsid w:val="00D400FC"/>
    <w:rsid w:val="00D4012C"/>
    <w:rsid w:val="00D40896"/>
    <w:rsid w:val="00D4157C"/>
    <w:rsid w:val="00D419BE"/>
    <w:rsid w:val="00D4240B"/>
    <w:rsid w:val="00D42C37"/>
    <w:rsid w:val="00D43520"/>
    <w:rsid w:val="00D4396A"/>
    <w:rsid w:val="00D46B15"/>
    <w:rsid w:val="00D476D9"/>
    <w:rsid w:val="00D47C43"/>
    <w:rsid w:val="00D504BE"/>
    <w:rsid w:val="00D506FC"/>
    <w:rsid w:val="00D50C30"/>
    <w:rsid w:val="00D51083"/>
    <w:rsid w:val="00D510E6"/>
    <w:rsid w:val="00D51B7B"/>
    <w:rsid w:val="00D51BB7"/>
    <w:rsid w:val="00D52056"/>
    <w:rsid w:val="00D530BC"/>
    <w:rsid w:val="00D545A8"/>
    <w:rsid w:val="00D54816"/>
    <w:rsid w:val="00D54E9F"/>
    <w:rsid w:val="00D558AD"/>
    <w:rsid w:val="00D55A51"/>
    <w:rsid w:val="00D55E8E"/>
    <w:rsid w:val="00D564F1"/>
    <w:rsid w:val="00D56B31"/>
    <w:rsid w:val="00D56CFB"/>
    <w:rsid w:val="00D56D66"/>
    <w:rsid w:val="00D56DC9"/>
    <w:rsid w:val="00D603A9"/>
    <w:rsid w:val="00D60715"/>
    <w:rsid w:val="00D60E23"/>
    <w:rsid w:val="00D6120A"/>
    <w:rsid w:val="00D6131A"/>
    <w:rsid w:val="00D613F4"/>
    <w:rsid w:val="00D624E7"/>
    <w:rsid w:val="00D62BE2"/>
    <w:rsid w:val="00D63436"/>
    <w:rsid w:val="00D6377C"/>
    <w:rsid w:val="00D64191"/>
    <w:rsid w:val="00D64FA0"/>
    <w:rsid w:val="00D6515A"/>
    <w:rsid w:val="00D65B5A"/>
    <w:rsid w:val="00D6699C"/>
    <w:rsid w:val="00D67533"/>
    <w:rsid w:val="00D67B00"/>
    <w:rsid w:val="00D67CB9"/>
    <w:rsid w:val="00D70423"/>
    <w:rsid w:val="00D70460"/>
    <w:rsid w:val="00D70710"/>
    <w:rsid w:val="00D707A7"/>
    <w:rsid w:val="00D71390"/>
    <w:rsid w:val="00D71CAF"/>
    <w:rsid w:val="00D7253B"/>
    <w:rsid w:val="00D72565"/>
    <w:rsid w:val="00D73BB3"/>
    <w:rsid w:val="00D74835"/>
    <w:rsid w:val="00D752B7"/>
    <w:rsid w:val="00D762D7"/>
    <w:rsid w:val="00D7681E"/>
    <w:rsid w:val="00D76F14"/>
    <w:rsid w:val="00D7748E"/>
    <w:rsid w:val="00D77584"/>
    <w:rsid w:val="00D77E27"/>
    <w:rsid w:val="00D80AC9"/>
    <w:rsid w:val="00D80F37"/>
    <w:rsid w:val="00D813D7"/>
    <w:rsid w:val="00D8321C"/>
    <w:rsid w:val="00D837DB"/>
    <w:rsid w:val="00D84A7E"/>
    <w:rsid w:val="00D8550A"/>
    <w:rsid w:val="00D85C05"/>
    <w:rsid w:val="00D85F32"/>
    <w:rsid w:val="00D90121"/>
    <w:rsid w:val="00D91944"/>
    <w:rsid w:val="00D91C71"/>
    <w:rsid w:val="00D924BF"/>
    <w:rsid w:val="00D92942"/>
    <w:rsid w:val="00D92B97"/>
    <w:rsid w:val="00D92BB4"/>
    <w:rsid w:val="00D9324B"/>
    <w:rsid w:val="00D94B1D"/>
    <w:rsid w:val="00D95383"/>
    <w:rsid w:val="00D959BF"/>
    <w:rsid w:val="00D95A3C"/>
    <w:rsid w:val="00D9607B"/>
    <w:rsid w:val="00D96209"/>
    <w:rsid w:val="00D96AB8"/>
    <w:rsid w:val="00D96B00"/>
    <w:rsid w:val="00D96D13"/>
    <w:rsid w:val="00D96D45"/>
    <w:rsid w:val="00D979DD"/>
    <w:rsid w:val="00DA1088"/>
    <w:rsid w:val="00DA15EA"/>
    <w:rsid w:val="00DA3639"/>
    <w:rsid w:val="00DA39FA"/>
    <w:rsid w:val="00DA49F9"/>
    <w:rsid w:val="00DA5915"/>
    <w:rsid w:val="00DA5EA0"/>
    <w:rsid w:val="00DA7E40"/>
    <w:rsid w:val="00DB0B26"/>
    <w:rsid w:val="00DB0E8C"/>
    <w:rsid w:val="00DB1834"/>
    <w:rsid w:val="00DB1D88"/>
    <w:rsid w:val="00DB21EF"/>
    <w:rsid w:val="00DB3385"/>
    <w:rsid w:val="00DB35A5"/>
    <w:rsid w:val="00DB3655"/>
    <w:rsid w:val="00DB430F"/>
    <w:rsid w:val="00DB4F86"/>
    <w:rsid w:val="00DB54B9"/>
    <w:rsid w:val="00DB6CA0"/>
    <w:rsid w:val="00DB7E05"/>
    <w:rsid w:val="00DC0E27"/>
    <w:rsid w:val="00DC21F1"/>
    <w:rsid w:val="00DC2269"/>
    <w:rsid w:val="00DC2BEC"/>
    <w:rsid w:val="00DC2C6B"/>
    <w:rsid w:val="00DC2F45"/>
    <w:rsid w:val="00DC36E4"/>
    <w:rsid w:val="00DC4005"/>
    <w:rsid w:val="00DC4412"/>
    <w:rsid w:val="00DC6056"/>
    <w:rsid w:val="00DC7515"/>
    <w:rsid w:val="00DC7882"/>
    <w:rsid w:val="00DD0B8F"/>
    <w:rsid w:val="00DD0C01"/>
    <w:rsid w:val="00DD1FFE"/>
    <w:rsid w:val="00DD20D9"/>
    <w:rsid w:val="00DD23E8"/>
    <w:rsid w:val="00DD2B9E"/>
    <w:rsid w:val="00DD3976"/>
    <w:rsid w:val="00DD4537"/>
    <w:rsid w:val="00DD4A27"/>
    <w:rsid w:val="00DD4B31"/>
    <w:rsid w:val="00DD4EBA"/>
    <w:rsid w:val="00DD54F3"/>
    <w:rsid w:val="00DD5A45"/>
    <w:rsid w:val="00DD5C7B"/>
    <w:rsid w:val="00DD5F31"/>
    <w:rsid w:val="00DD6663"/>
    <w:rsid w:val="00DD692E"/>
    <w:rsid w:val="00DD6CFF"/>
    <w:rsid w:val="00DD705C"/>
    <w:rsid w:val="00DD7322"/>
    <w:rsid w:val="00DD7CF0"/>
    <w:rsid w:val="00DE05F2"/>
    <w:rsid w:val="00DE0C37"/>
    <w:rsid w:val="00DE2354"/>
    <w:rsid w:val="00DE303C"/>
    <w:rsid w:val="00DE45F1"/>
    <w:rsid w:val="00DE5185"/>
    <w:rsid w:val="00DE5435"/>
    <w:rsid w:val="00DE6681"/>
    <w:rsid w:val="00DE6A55"/>
    <w:rsid w:val="00DE727E"/>
    <w:rsid w:val="00DE7663"/>
    <w:rsid w:val="00DF07C4"/>
    <w:rsid w:val="00DF10CC"/>
    <w:rsid w:val="00DF1F76"/>
    <w:rsid w:val="00DF2407"/>
    <w:rsid w:val="00DF2C00"/>
    <w:rsid w:val="00DF446F"/>
    <w:rsid w:val="00DF4E48"/>
    <w:rsid w:val="00DF4ED9"/>
    <w:rsid w:val="00DF5733"/>
    <w:rsid w:val="00DF5CE9"/>
    <w:rsid w:val="00DF634C"/>
    <w:rsid w:val="00DF6363"/>
    <w:rsid w:val="00DF68A2"/>
    <w:rsid w:val="00DF6A37"/>
    <w:rsid w:val="00DF6DAC"/>
    <w:rsid w:val="00DF71B1"/>
    <w:rsid w:val="00DF725C"/>
    <w:rsid w:val="00DF728C"/>
    <w:rsid w:val="00DF7399"/>
    <w:rsid w:val="00DF7778"/>
    <w:rsid w:val="00DF7827"/>
    <w:rsid w:val="00DF7DA1"/>
    <w:rsid w:val="00E00694"/>
    <w:rsid w:val="00E0133C"/>
    <w:rsid w:val="00E013D5"/>
    <w:rsid w:val="00E01DCD"/>
    <w:rsid w:val="00E02047"/>
    <w:rsid w:val="00E02107"/>
    <w:rsid w:val="00E022E7"/>
    <w:rsid w:val="00E02B59"/>
    <w:rsid w:val="00E03AC3"/>
    <w:rsid w:val="00E03B48"/>
    <w:rsid w:val="00E03F25"/>
    <w:rsid w:val="00E0449B"/>
    <w:rsid w:val="00E04507"/>
    <w:rsid w:val="00E04643"/>
    <w:rsid w:val="00E04FEB"/>
    <w:rsid w:val="00E055ED"/>
    <w:rsid w:val="00E05E04"/>
    <w:rsid w:val="00E05E6B"/>
    <w:rsid w:val="00E069D5"/>
    <w:rsid w:val="00E06FC6"/>
    <w:rsid w:val="00E07822"/>
    <w:rsid w:val="00E07BF5"/>
    <w:rsid w:val="00E07F5F"/>
    <w:rsid w:val="00E1053D"/>
    <w:rsid w:val="00E11583"/>
    <w:rsid w:val="00E11782"/>
    <w:rsid w:val="00E11EBA"/>
    <w:rsid w:val="00E122D5"/>
    <w:rsid w:val="00E12B07"/>
    <w:rsid w:val="00E1325D"/>
    <w:rsid w:val="00E14A07"/>
    <w:rsid w:val="00E1573E"/>
    <w:rsid w:val="00E1586A"/>
    <w:rsid w:val="00E158CD"/>
    <w:rsid w:val="00E165CC"/>
    <w:rsid w:val="00E176C2"/>
    <w:rsid w:val="00E1778E"/>
    <w:rsid w:val="00E200AB"/>
    <w:rsid w:val="00E203AD"/>
    <w:rsid w:val="00E206A3"/>
    <w:rsid w:val="00E20931"/>
    <w:rsid w:val="00E2130E"/>
    <w:rsid w:val="00E213A1"/>
    <w:rsid w:val="00E21403"/>
    <w:rsid w:val="00E21492"/>
    <w:rsid w:val="00E21885"/>
    <w:rsid w:val="00E22902"/>
    <w:rsid w:val="00E22A33"/>
    <w:rsid w:val="00E23BDD"/>
    <w:rsid w:val="00E24062"/>
    <w:rsid w:val="00E24393"/>
    <w:rsid w:val="00E2466D"/>
    <w:rsid w:val="00E24E7C"/>
    <w:rsid w:val="00E25EDF"/>
    <w:rsid w:val="00E26B01"/>
    <w:rsid w:val="00E3048C"/>
    <w:rsid w:val="00E3177A"/>
    <w:rsid w:val="00E317E6"/>
    <w:rsid w:val="00E318B4"/>
    <w:rsid w:val="00E320DC"/>
    <w:rsid w:val="00E32702"/>
    <w:rsid w:val="00E32956"/>
    <w:rsid w:val="00E32981"/>
    <w:rsid w:val="00E3347B"/>
    <w:rsid w:val="00E337E9"/>
    <w:rsid w:val="00E34CA4"/>
    <w:rsid w:val="00E35497"/>
    <w:rsid w:val="00E35B43"/>
    <w:rsid w:val="00E35E1E"/>
    <w:rsid w:val="00E36329"/>
    <w:rsid w:val="00E3686C"/>
    <w:rsid w:val="00E37B2D"/>
    <w:rsid w:val="00E37CA6"/>
    <w:rsid w:val="00E37E6F"/>
    <w:rsid w:val="00E403C8"/>
    <w:rsid w:val="00E432E7"/>
    <w:rsid w:val="00E44076"/>
    <w:rsid w:val="00E442F9"/>
    <w:rsid w:val="00E44ADD"/>
    <w:rsid w:val="00E44C43"/>
    <w:rsid w:val="00E45507"/>
    <w:rsid w:val="00E461F4"/>
    <w:rsid w:val="00E503ED"/>
    <w:rsid w:val="00E50BD2"/>
    <w:rsid w:val="00E528C1"/>
    <w:rsid w:val="00E52EC7"/>
    <w:rsid w:val="00E530CD"/>
    <w:rsid w:val="00E53591"/>
    <w:rsid w:val="00E53EED"/>
    <w:rsid w:val="00E53F1B"/>
    <w:rsid w:val="00E547CD"/>
    <w:rsid w:val="00E548EB"/>
    <w:rsid w:val="00E54BA1"/>
    <w:rsid w:val="00E55F80"/>
    <w:rsid w:val="00E55FE5"/>
    <w:rsid w:val="00E561D1"/>
    <w:rsid w:val="00E565CF"/>
    <w:rsid w:val="00E56F1E"/>
    <w:rsid w:val="00E56FE6"/>
    <w:rsid w:val="00E57C87"/>
    <w:rsid w:val="00E604B3"/>
    <w:rsid w:val="00E605F1"/>
    <w:rsid w:val="00E60B32"/>
    <w:rsid w:val="00E6118B"/>
    <w:rsid w:val="00E622CE"/>
    <w:rsid w:val="00E6269D"/>
    <w:rsid w:val="00E62806"/>
    <w:rsid w:val="00E64863"/>
    <w:rsid w:val="00E64BDF"/>
    <w:rsid w:val="00E65D70"/>
    <w:rsid w:val="00E66D1E"/>
    <w:rsid w:val="00E676A6"/>
    <w:rsid w:val="00E707E0"/>
    <w:rsid w:val="00E71292"/>
    <w:rsid w:val="00E71377"/>
    <w:rsid w:val="00E71D49"/>
    <w:rsid w:val="00E722C1"/>
    <w:rsid w:val="00E7287F"/>
    <w:rsid w:val="00E7294B"/>
    <w:rsid w:val="00E72983"/>
    <w:rsid w:val="00E73690"/>
    <w:rsid w:val="00E73CF9"/>
    <w:rsid w:val="00E74AC1"/>
    <w:rsid w:val="00E7505D"/>
    <w:rsid w:val="00E75102"/>
    <w:rsid w:val="00E75E0A"/>
    <w:rsid w:val="00E76504"/>
    <w:rsid w:val="00E7676C"/>
    <w:rsid w:val="00E76A44"/>
    <w:rsid w:val="00E76AAF"/>
    <w:rsid w:val="00E76E6C"/>
    <w:rsid w:val="00E776B9"/>
    <w:rsid w:val="00E77BC9"/>
    <w:rsid w:val="00E800E4"/>
    <w:rsid w:val="00E80115"/>
    <w:rsid w:val="00E80C18"/>
    <w:rsid w:val="00E80D8A"/>
    <w:rsid w:val="00E812D5"/>
    <w:rsid w:val="00E81523"/>
    <w:rsid w:val="00E819A5"/>
    <w:rsid w:val="00E83541"/>
    <w:rsid w:val="00E84094"/>
    <w:rsid w:val="00E84652"/>
    <w:rsid w:val="00E848B2"/>
    <w:rsid w:val="00E84DFB"/>
    <w:rsid w:val="00E8519C"/>
    <w:rsid w:val="00E8524C"/>
    <w:rsid w:val="00E8533F"/>
    <w:rsid w:val="00E85716"/>
    <w:rsid w:val="00E874CB"/>
    <w:rsid w:val="00E87BF4"/>
    <w:rsid w:val="00E90A20"/>
    <w:rsid w:val="00E90A39"/>
    <w:rsid w:val="00E91021"/>
    <w:rsid w:val="00E91A3B"/>
    <w:rsid w:val="00E922EC"/>
    <w:rsid w:val="00E9238E"/>
    <w:rsid w:val="00E9261B"/>
    <w:rsid w:val="00E92622"/>
    <w:rsid w:val="00E92F77"/>
    <w:rsid w:val="00E936F7"/>
    <w:rsid w:val="00E94381"/>
    <w:rsid w:val="00E9461D"/>
    <w:rsid w:val="00E948D8"/>
    <w:rsid w:val="00E94954"/>
    <w:rsid w:val="00E94FA9"/>
    <w:rsid w:val="00E95FBC"/>
    <w:rsid w:val="00E95FC0"/>
    <w:rsid w:val="00E96105"/>
    <w:rsid w:val="00E96470"/>
    <w:rsid w:val="00E965DA"/>
    <w:rsid w:val="00E9694F"/>
    <w:rsid w:val="00E96EF2"/>
    <w:rsid w:val="00E9729D"/>
    <w:rsid w:val="00E97940"/>
    <w:rsid w:val="00E97A86"/>
    <w:rsid w:val="00E97B9E"/>
    <w:rsid w:val="00E97BCA"/>
    <w:rsid w:val="00EA00D8"/>
    <w:rsid w:val="00EA0D8B"/>
    <w:rsid w:val="00EA0E83"/>
    <w:rsid w:val="00EA0F9A"/>
    <w:rsid w:val="00EA2DF3"/>
    <w:rsid w:val="00EA376D"/>
    <w:rsid w:val="00EA3DC2"/>
    <w:rsid w:val="00EA3FBB"/>
    <w:rsid w:val="00EA4438"/>
    <w:rsid w:val="00EA5B37"/>
    <w:rsid w:val="00EA5B43"/>
    <w:rsid w:val="00EA6E50"/>
    <w:rsid w:val="00EA70E0"/>
    <w:rsid w:val="00EB0067"/>
    <w:rsid w:val="00EB0FE6"/>
    <w:rsid w:val="00EB13BF"/>
    <w:rsid w:val="00EB1B7D"/>
    <w:rsid w:val="00EB1CDD"/>
    <w:rsid w:val="00EB1DE2"/>
    <w:rsid w:val="00EB323B"/>
    <w:rsid w:val="00EB3328"/>
    <w:rsid w:val="00EB35A1"/>
    <w:rsid w:val="00EB37F2"/>
    <w:rsid w:val="00EB41FE"/>
    <w:rsid w:val="00EB4300"/>
    <w:rsid w:val="00EB5ED4"/>
    <w:rsid w:val="00EB6572"/>
    <w:rsid w:val="00EB68B9"/>
    <w:rsid w:val="00EB6DA3"/>
    <w:rsid w:val="00EB7161"/>
    <w:rsid w:val="00EC0B63"/>
    <w:rsid w:val="00EC112D"/>
    <w:rsid w:val="00EC180F"/>
    <w:rsid w:val="00EC2204"/>
    <w:rsid w:val="00EC239B"/>
    <w:rsid w:val="00EC269F"/>
    <w:rsid w:val="00EC2A1A"/>
    <w:rsid w:val="00EC30B7"/>
    <w:rsid w:val="00EC3C6A"/>
    <w:rsid w:val="00EC4011"/>
    <w:rsid w:val="00EC40E7"/>
    <w:rsid w:val="00EC46F8"/>
    <w:rsid w:val="00EC5362"/>
    <w:rsid w:val="00EC6041"/>
    <w:rsid w:val="00EC649D"/>
    <w:rsid w:val="00EC6786"/>
    <w:rsid w:val="00EC6DBB"/>
    <w:rsid w:val="00EC78E2"/>
    <w:rsid w:val="00EC7A14"/>
    <w:rsid w:val="00EC7BF8"/>
    <w:rsid w:val="00EC7C3D"/>
    <w:rsid w:val="00ED1490"/>
    <w:rsid w:val="00ED2024"/>
    <w:rsid w:val="00ED240A"/>
    <w:rsid w:val="00ED2A28"/>
    <w:rsid w:val="00ED31ED"/>
    <w:rsid w:val="00ED3267"/>
    <w:rsid w:val="00ED389D"/>
    <w:rsid w:val="00ED7163"/>
    <w:rsid w:val="00ED72CE"/>
    <w:rsid w:val="00EE0D38"/>
    <w:rsid w:val="00EE13DF"/>
    <w:rsid w:val="00EE2490"/>
    <w:rsid w:val="00EE3188"/>
    <w:rsid w:val="00EE46C0"/>
    <w:rsid w:val="00EE4A21"/>
    <w:rsid w:val="00EE5138"/>
    <w:rsid w:val="00EE5830"/>
    <w:rsid w:val="00EE6315"/>
    <w:rsid w:val="00EE6AD6"/>
    <w:rsid w:val="00EE714A"/>
    <w:rsid w:val="00EE78A6"/>
    <w:rsid w:val="00EE7B8D"/>
    <w:rsid w:val="00EE7F47"/>
    <w:rsid w:val="00EF010C"/>
    <w:rsid w:val="00EF359C"/>
    <w:rsid w:val="00EF370F"/>
    <w:rsid w:val="00EF42EF"/>
    <w:rsid w:val="00EF4B45"/>
    <w:rsid w:val="00EF4B55"/>
    <w:rsid w:val="00EF4E9A"/>
    <w:rsid w:val="00EF55DE"/>
    <w:rsid w:val="00EF594E"/>
    <w:rsid w:val="00EF61F9"/>
    <w:rsid w:val="00EF6746"/>
    <w:rsid w:val="00F002B9"/>
    <w:rsid w:val="00F00A51"/>
    <w:rsid w:val="00F01384"/>
    <w:rsid w:val="00F01768"/>
    <w:rsid w:val="00F017D3"/>
    <w:rsid w:val="00F01951"/>
    <w:rsid w:val="00F01B40"/>
    <w:rsid w:val="00F02534"/>
    <w:rsid w:val="00F0332A"/>
    <w:rsid w:val="00F03B6D"/>
    <w:rsid w:val="00F0466D"/>
    <w:rsid w:val="00F04900"/>
    <w:rsid w:val="00F04E58"/>
    <w:rsid w:val="00F05284"/>
    <w:rsid w:val="00F05A12"/>
    <w:rsid w:val="00F0622D"/>
    <w:rsid w:val="00F07930"/>
    <w:rsid w:val="00F07AF5"/>
    <w:rsid w:val="00F10056"/>
    <w:rsid w:val="00F103C4"/>
    <w:rsid w:val="00F10851"/>
    <w:rsid w:val="00F10971"/>
    <w:rsid w:val="00F109BD"/>
    <w:rsid w:val="00F10DDF"/>
    <w:rsid w:val="00F1100A"/>
    <w:rsid w:val="00F11B0E"/>
    <w:rsid w:val="00F11B52"/>
    <w:rsid w:val="00F11F7D"/>
    <w:rsid w:val="00F1279E"/>
    <w:rsid w:val="00F129B5"/>
    <w:rsid w:val="00F12B03"/>
    <w:rsid w:val="00F13AAE"/>
    <w:rsid w:val="00F14387"/>
    <w:rsid w:val="00F1512D"/>
    <w:rsid w:val="00F155FD"/>
    <w:rsid w:val="00F1605B"/>
    <w:rsid w:val="00F169BE"/>
    <w:rsid w:val="00F17201"/>
    <w:rsid w:val="00F174F7"/>
    <w:rsid w:val="00F17A2B"/>
    <w:rsid w:val="00F20341"/>
    <w:rsid w:val="00F2036A"/>
    <w:rsid w:val="00F20B3D"/>
    <w:rsid w:val="00F2147A"/>
    <w:rsid w:val="00F216DA"/>
    <w:rsid w:val="00F21706"/>
    <w:rsid w:val="00F22465"/>
    <w:rsid w:val="00F24690"/>
    <w:rsid w:val="00F24E48"/>
    <w:rsid w:val="00F25705"/>
    <w:rsid w:val="00F2578E"/>
    <w:rsid w:val="00F25F87"/>
    <w:rsid w:val="00F2676C"/>
    <w:rsid w:val="00F26A0B"/>
    <w:rsid w:val="00F27239"/>
    <w:rsid w:val="00F27BA8"/>
    <w:rsid w:val="00F308EE"/>
    <w:rsid w:val="00F30E24"/>
    <w:rsid w:val="00F31263"/>
    <w:rsid w:val="00F320D8"/>
    <w:rsid w:val="00F32B5B"/>
    <w:rsid w:val="00F32F0F"/>
    <w:rsid w:val="00F32F97"/>
    <w:rsid w:val="00F33638"/>
    <w:rsid w:val="00F33813"/>
    <w:rsid w:val="00F33DBF"/>
    <w:rsid w:val="00F342EE"/>
    <w:rsid w:val="00F35051"/>
    <w:rsid w:val="00F351DF"/>
    <w:rsid w:val="00F3702A"/>
    <w:rsid w:val="00F3755E"/>
    <w:rsid w:val="00F37D58"/>
    <w:rsid w:val="00F37ECE"/>
    <w:rsid w:val="00F413D9"/>
    <w:rsid w:val="00F419F9"/>
    <w:rsid w:val="00F41B57"/>
    <w:rsid w:val="00F41BD7"/>
    <w:rsid w:val="00F41CF0"/>
    <w:rsid w:val="00F41F4C"/>
    <w:rsid w:val="00F43610"/>
    <w:rsid w:val="00F4375E"/>
    <w:rsid w:val="00F43A2A"/>
    <w:rsid w:val="00F4440A"/>
    <w:rsid w:val="00F44C88"/>
    <w:rsid w:val="00F44CAE"/>
    <w:rsid w:val="00F44E0F"/>
    <w:rsid w:val="00F44F3A"/>
    <w:rsid w:val="00F4512B"/>
    <w:rsid w:val="00F451C9"/>
    <w:rsid w:val="00F456E8"/>
    <w:rsid w:val="00F468C7"/>
    <w:rsid w:val="00F46E65"/>
    <w:rsid w:val="00F4747F"/>
    <w:rsid w:val="00F4752F"/>
    <w:rsid w:val="00F47B7F"/>
    <w:rsid w:val="00F47BEE"/>
    <w:rsid w:val="00F5051E"/>
    <w:rsid w:val="00F51D1C"/>
    <w:rsid w:val="00F52451"/>
    <w:rsid w:val="00F52D7A"/>
    <w:rsid w:val="00F561F3"/>
    <w:rsid w:val="00F5648E"/>
    <w:rsid w:val="00F56BBF"/>
    <w:rsid w:val="00F56E3C"/>
    <w:rsid w:val="00F6097E"/>
    <w:rsid w:val="00F609A5"/>
    <w:rsid w:val="00F60D67"/>
    <w:rsid w:val="00F61037"/>
    <w:rsid w:val="00F61955"/>
    <w:rsid w:val="00F62318"/>
    <w:rsid w:val="00F6392B"/>
    <w:rsid w:val="00F6397F"/>
    <w:rsid w:val="00F63ACD"/>
    <w:rsid w:val="00F63C75"/>
    <w:rsid w:val="00F64B28"/>
    <w:rsid w:val="00F64D80"/>
    <w:rsid w:val="00F65C87"/>
    <w:rsid w:val="00F662A8"/>
    <w:rsid w:val="00F66A0F"/>
    <w:rsid w:val="00F67174"/>
    <w:rsid w:val="00F6794D"/>
    <w:rsid w:val="00F706FB"/>
    <w:rsid w:val="00F70E28"/>
    <w:rsid w:val="00F71206"/>
    <w:rsid w:val="00F71BFC"/>
    <w:rsid w:val="00F723D2"/>
    <w:rsid w:val="00F72D21"/>
    <w:rsid w:val="00F7337D"/>
    <w:rsid w:val="00F747A6"/>
    <w:rsid w:val="00F74806"/>
    <w:rsid w:val="00F74852"/>
    <w:rsid w:val="00F74EFA"/>
    <w:rsid w:val="00F7564F"/>
    <w:rsid w:val="00F75728"/>
    <w:rsid w:val="00F75D64"/>
    <w:rsid w:val="00F760D2"/>
    <w:rsid w:val="00F76E15"/>
    <w:rsid w:val="00F814BC"/>
    <w:rsid w:val="00F821DB"/>
    <w:rsid w:val="00F827E5"/>
    <w:rsid w:val="00F82ACB"/>
    <w:rsid w:val="00F836D2"/>
    <w:rsid w:val="00F848B0"/>
    <w:rsid w:val="00F84BCA"/>
    <w:rsid w:val="00F84D8A"/>
    <w:rsid w:val="00F85027"/>
    <w:rsid w:val="00F85198"/>
    <w:rsid w:val="00F8572D"/>
    <w:rsid w:val="00F87296"/>
    <w:rsid w:val="00F87388"/>
    <w:rsid w:val="00F879C3"/>
    <w:rsid w:val="00F87BB7"/>
    <w:rsid w:val="00F90B2C"/>
    <w:rsid w:val="00F90D29"/>
    <w:rsid w:val="00F9149D"/>
    <w:rsid w:val="00F915A3"/>
    <w:rsid w:val="00F91DE3"/>
    <w:rsid w:val="00F92753"/>
    <w:rsid w:val="00F9298A"/>
    <w:rsid w:val="00F931C9"/>
    <w:rsid w:val="00F93490"/>
    <w:rsid w:val="00F94A5F"/>
    <w:rsid w:val="00F94DF5"/>
    <w:rsid w:val="00F95EF7"/>
    <w:rsid w:val="00F9668F"/>
    <w:rsid w:val="00FA1AAA"/>
    <w:rsid w:val="00FA2439"/>
    <w:rsid w:val="00FA2455"/>
    <w:rsid w:val="00FA309D"/>
    <w:rsid w:val="00FA3663"/>
    <w:rsid w:val="00FA4041"/>
    <w:rsid w:val="00FA45AA"/>
    <w:rsid w:val="00FA4A65"/>
    <w:rsid w:val="00FA4E62"/>
    <w:rsid w:val="00FA53D0"/>
    <w:rsid w:val="00FA55EB"/>
    <w:rsid w:val="00FA5BD8"/>
    <w:rsid w:val="00FA6587"/>
    <w:rsid w:val="00FA684F"/>
    <w:rsid w:val="00FA7558"/>
    <w:rsid w:val="00FA75BB"/>
    <w:rsid w:val="00FA7B3E"/>
    <w:rsid w:val="00FA7BE9"/>
    <w:rsid w:val="00FA7E0B"/>
    <w:rsid w:val="00FB131B"/>
    <w:rsid w:val="00FB2150"/>
    <w:rsid w:val="00FB32A6"/>
    <w:rsid w:val="00FB3510"/>
    <w:rsid w:val="00FB397A"/>
    <w:rsid w:val="00FB3BAD"/>
    <w:rsid w:val="00FB5700"/>
    <w:rsid w:val="00FB5EDC"/>
    <w:rsid w:val="00FB6EB6"/>
    <w:rsid w:val="00FB7358"/>
    <w:rsid w:val="00FB761E"/>
    <w:rsid w:val="00FB7A35"/>
    <w:rsid w:val="00FC0368"/>
    <w:rsid w:val="00FC080C"/>
    <w:rsid w:val="00FC0BEE"/>
    <w:rsid w:val="00FC0F58"/>
    <w:rsid w:val="00FC1045"/>
    <w:rsid w:val="00FC1F39"/>
    <w:rsid w:val="00FC20F5"/>
    <w:rsid w:val="00FC285C"/>
    <w:rsid w:val="00FC2FC9"/>
    <w:rsid w:val="00FC41AA"/>
    <w:rsid w:val="00FC44CA"/>
    <w:rsid w:val="00FC4CC6"/>
    <w:rsid w:val="00FC53EB"/>
    <w:rsid w:val="00FC588C"/>
    <w:rsid w:val="00FC59D4"/>
    <w:rsid w:val="00FC5B50"/>
    <w:rsid w:val="00FC5F81"/>
    <w:rsid w:val="00FC7124"/>
    <w:rsid w:val="00FC73A3"/>
    <w:rsid w:val="00FC7579"/>
    <w:rsid w:val="00FD05E2"/>
    <w:rsid w:val="00FD0CA5"/>
    <w:rsid w:val="00FD0F5B"/>
    <w:rsid w:val="00FD13B4"/>
    <w:rsid w:val="00FD1F84"/>
    <w:rsid w:val="00FD20B1"/>
    <w:rsid w:val="00FD21B9"/>
    <w:rsid w:val="00FD268E"/>
    <w:rsid w:val="00FD39DD"/>
    <w:rsid w:val="00FD3BD5"/>
    <w:rsid w:val="00FD3EB0"/>
    <w:rsid w:val="00FD54ED"/>
    <w:rsid w:val="00FD570C"/>
    <w:rsid w:val="00FD57BE"/>
    <w:rsid w:val="00FD5946"/>
    <w:rsid w:val="00FD5ACA"/>
    <w:rsid w:val="00FD613F"/>
    <w:rsid w:val="00FD68EE"/>
    <w:rsid w:val="00FD6F9E"/>
    <w:rsid w:val="00FD7895"/>
    <w:rsid w:val="00FD7D0F"/>
    <w:rsid w:val="00FD7F24"/>
    <w:rsid w:val="00FE0994"/>
    <w:rsid w:val="00FE0D1D"/>
    <w:rsid w:val="00FE1ABD"/>
    <w:rsid w:val="00FE218E"/>
    <w:rsid w:val="00FE24A1"/>
    <w:rsid w:val="00FE44BB"/>
    <w:rsid w:val="00FE4D1D"/>
    <w:rsid w:val="00FE4EFA"/>
    <w:rsid w:val="00FE51D2"/>
    <w:rsid w:val="00FE5284"/>
    <w:rsid w:val="00FE57B2"/>
    <w:rsid w:val="00FE7970"/>
    <w:rsid w:val="00FE7EEF"/>
    <w:rsid w:val="00FF0936"/>
    <w:rsid w:val="00FF1EA4"/>
    <w:rsid w:val="00FF2097"/>
    <w:rsid w:val="00FF28B0"/>
    <w:rsid w:val="00FF2B48"/>
    <w:rsid w:val="00FF2FAB"/>
    <w:rsid w:val="00FF2FB4"/>
    <w:rsid w:val="00FF4846"/>
    <w:rsid w:val="00FF4C3D"/>
    <w:rsid w:val="00FF4F98"/>
    <w:rsid w:val="00FF55E5"/>
    <w:rsid w:val="00FF586A"/>
    <w:rsid w:val="00FF63F9"/>
    <w:rsid w:val="00FF6BF8"/>
    <w:rsid w:val="00FF7785"/>
    <w:rsid w:val="00FF7792"/>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character" w:customStyle="1" w:styleId="B1Char1">
    <w:name w:val="B1 Char1"/>
    <w:qFormat/>
    <w:rsid w:val="007F09D6"/>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aliases w:val="h4"/>
    <w:basedOn w:val="3"/>
    <w:next w:val="a0"/>
    <w:link w:val="4Char"/>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0"/>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qFormat/>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0">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1"/>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1">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PLChar">
    <w:name w:val="PL Char"/>
    <w:link w:val="PL"/>
    <w:qFormat/>
    <w:rsid w:val="00921346"/>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BA4360"/>
    <w:rPr>
      <w:rFonts w:ascii="Arial" w:hAnsi="Arial"/>
      <w:b/>
      <w:noProof/>
      <w:sz w:val="18"/>
      <w:lang w:val="en-GB" w:eastAsia="en-US"/>
    </w:rPr>
  </w:style>
  <w:style w:type="character" w:customStyle="1" w:styleId="4Char">
    <w:name w:val="标题 4 Char"/>
    <w:aliases w:val="h4 Char"/>
    <w:basedOn w:val="a1"/>
    <w:link w:val="4"/>
    <w:rsid w:val="00BA4360"/>
    <w:rPr>
      <w:rFonts w:ascii="Arial" w:hAnsi="Arial"/>
      <w:sz w:val="24"/>
      <w:lang w:val="en-GB" w:eastAsia="en-US"/>
    </w:rPr>
  </w:style>
  <w:style w:type="character" w:customStyle="1" w:styleId="B1Char1">
    <w:name w:val="B1 Char1"/>
    <w:qFormat/>
    <w:rsid w:val="007F09D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95054329">
      <w:bodyDiv w:val="1"/>
      <w:marLeft w:val="0"/>
      <w:marRight w:val="0"/>
      <w:marTop w:val="0"/>
      <w:marBottom w:val="0"/>
      <w:divBdr>
        <w:top w:val="none" w:sz="0" w:space="0" w:color="auto"/>
        <w:left w:val="none" w:sz="0" w:space="0" w:color="auto"/>
        <w:bottom w:val="none" w:sz="0" w:space="0" w:color="auto"/>
        <w:right w:val="none" w:sz="0" w:space="0" w:color="auto"/>
      </w:divBdr>
      <w:divsChild>
        <w:div w:id="526068380">
          <w:marLeft w:val="547"/>
          <w:marRight w:val="0"/>
          <w:marTop w:val="91"/>
          <w:marBottom w:val="0"/>
          <w:divBdr>
            <w:top w:val="none" w:sz="0" w:space="0" w:color="auto"/>
            <w:left w:val="none" w:sz="0" w:space="0" w:color="auto"/>
            <w:bottom w:val="none" w:sz="0" w:space="0" w:color="auto"/>
            <w:right w:val="none" w:sz="0" w:space="0" w:color="auto"/>
          </w:divBdr>
        </w:div>
        <w:div w:id="740249633">
          <w:marLeft w:val="1166"/>
          <w:marRight w:val="0"/>
          <w:marTop w:val="72"/>
          <w:marBottom w:val="0"/>
          <w:divBdr>
            <w:top w:val="none" w:sz="0" w:space="0" w:color="auto"/>
            <w:left w:val="none" w:sz="0" w:space="0" w:color="auto"/>
            <w:bottom w:val="none" w:sz="0" w:space="0" w:color="auto"/>
            <w:right w:val="none" w:sz="0" w:space="0" w:color="auto"/>
          </w:divBdr>
        </w:div>
        <w:div w:id="984968581">
          <w:marLeft w:val="1166"/>
          <w:marRight w:val="0"/>
          <w:marTop w:val="72"/>
          <w:marBottom w:val="0"/>
          <w:divBdr>
            <w:top w:val="none" w:sz="0" w:space="0" w:color="auto"/>
            <w:left w:val="none" w:sz="0" w:space="0" w:color="auto"/>
            <w:bottom w:val="none" w:sz="0" w:space="0" w:color="auto"/>
            <w:right w:val="none" w:sz="0" w:space="0" w:color="auto"/>
          </w:divBdr>
        </w:div>
        <w:div w:id="1693916848">
          <w:marLeft w:val="1166"/>
          <w:marRight w:val="0"/>
          <w:marTop w:val="72"/>
          <w:marBottom w:val="0"/>
          <w:divBdr>
            <w:top w:val="none" w:sz="0" w:space="0" w:color="auto"/>
            <w:left w:val="none" w:sz="0" w:space="0" w:color="auto"/>
            <w:bottom w:val="none" w:sz="0" w:space="0" w:color="auto"/>
            <w:right w:val="none" w:sz="0" w:space="0" w:color="auto"/>
          </w:divBdr>
        </w:div>
        <w:div w:id="983434053">
          <w:marLeft w:val="1166"/>
          <w:marRight w:val="0"/>
          <w:marTop w:val="72"/>
          <w:marBottom w:val="0"/>
          <w:divBdr>
            <w:top w:val="none" w:sz="0" w:space="0" w:color="auto"/>
            <w:left w:val="none" w:sz="0" w:space="0" w:color="auto"/>
            <w:bottom w:val="none" w:sz="0" w:space="0" w:color="auto"/>
            <w:right w:val="none" w:sz="0" w:space="0" w:color="auto"/>
          </w:divBdr>
        </w:div>
        <w:div w:id="2066292755">
          <w:marLeft w:val="1800"/>
          <w:marRight w:val="0"/>
          <w:marTop w:val="72"/>
          <w:marBottom w:val="0"/>
          <w:divBdr>
            <w:top w:val="none" w:sz="0" w:space="0" w:color="auto"/>
            <w:left w:val="none" w:sz="0" w:space="0" w:color="auto"/>
            <w:bottom w:val="none" w:sz="0" w:space="0" w:color="auto"/>
            <w:right w:val="none" w:sz="0" w:space="0" w:color="auto"/>
          </w:divBdr>
        </w:div>
        <w:div w:id="2139251722">
          <w:marLeft w:val="1800"/>
          <w:marRight w:val="0"/>
          <w:marTop w:val="72"/>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22516807">
      <w:bodyDiv w:val="1"/>
      <w:marLeft w:val="0"/>
      <w:marRight w:val="0"/>
      <w:marTop w:val="0"/>
      <w:marBottom w:val="0"/>
      <w:divBdr>
        <w:top w:val="none" w:sz="0" w:space="0" w:color="auto"/>
        <w:left w:val="none" w:sz="0" w:space="0" w:color="auto"/>
        <w:bottom w:val="none" w:sz="0" w:space="0" w:color="auto"/>
        <w:right w:val="none" w:sz="0" w:space="0" w:color="auto"/>
      </w:divBdr>
      <w:divsChild>
        <w:div w:id="1752265070">
          <w:marLeft w:val="547"/>
          <w:marRight w:val="0"/>
          <w:marTop w:val="154"/>
          <w:marBottom w:val="0"/>
          <w:divBdr>
            <w:top w:val="none" w:sz="0" w:space="0" w:color="auto"/>
            <w:left w:val="none" w:sz="0" w:space="0" w:color="auto"/>
            <w:bottom w:val="none" w:sz="0" w:space="0" w:color="auto"/>
            <w:right w:val="none" w:sz="0" w:space="0" w:color="auto"/>
          </w:divBdr>
        </w:div>
        <w:div w:id="1332639243">
          <w:marLeft w:val="1166"/>
          <w:marRight w:val="0"/>
          <w:marTop w:val="134"/>
          <w:marBottom w:val="0"/>
          <w:divBdr>
            <w:top w:val="none" w:sz="0" w:space="0" w:color="auto"/>
            <w:left w:val="none" w:sz="0" w:space="0" w:color="auto"/>
            <w:bottom w:val="none" w:sz="0" w:space="0" w:color="auto"/>
            <w:right w:val="none" w:sz="0" w:space="0" w:color="auto"/>
          </w:divBdr>
        </w:div>
        <w:div w:id="997919935">
          <w:marLeft w:val="1166"/>
          <w:marRight w:val="0"/>
          <w:marTop w:val="134"/>
          <w:marBottom w:val="0"/>
          <w:divBdr>
            <w:top w:val="none" w:sz="0" w:space="0" w:color="auto"/>
            <w:left w:val="none" w:sz="0" w:space="0" w:color="auto"/>
            <w:bottom w:val="none" w:sz="0" w:space="0" w:color="auto"/>
            <w:right w:val="none" w:sz="0" w:space="0" w:color="auto"/>
          </w:divBdr>
        </w:div>
      </w:divsChild>
    </w:div>
    <w:div w:id="332803096">
      <w:bodyDiv w:val="1"/>
      <w:marLeft w:val="0"/>
      <w:marRight w:val="0"/>
      <w:marTop w:val="0"/>
      <w:marBottom w:val="0"/>
      <w:divBdr>
        <w:top w:val="none" w:sz="0" w:space="0" w:color="auto"/>
        <w:left w:val="none" w:sz="0" w:space="0" w:color="auto"/>
        <w:bottom w:val="none" w:sz="0" w:space="0" w:color="auto"/>
        <w:right w:val="none" w:sz="0" w:space="0" w:color="auto"/>
      </w:divBdr>
    </w:div>
    <w:div w:id="336544091">
      <w:bodyDiv w:val="1"/>
      <w:marLeft w:val="0"/>
      <w:marRight w:val="0"/>
      <w:marTop w:val="0"/>
      <w:marBottom w:val="0"/>
      <w:divBdr>
        <w:top w:val="none" w:sz="0" w:space="0" w:color="auto"/>
        <w:left w:val="none" w:sz="0" w:space="0" w:color="auto"/>
        <w:bottom w:val="none" w:sz="0" w:space="0" w:color="auto"/>
        <w:right w:val="none" w:sz="0" w:space="0" w:color="auto"/>
      </w:divBdr>
      <w:divsChild>
        <w:div w:id="327443881">
          <w:marLeft w:val="547"/>
          <w:marRight w:val="0"/>
          <w:marTop w:val="130"/>
          <w:marBottom w:val="0"/>
          <w:divBdr>
            <w:top w:val="none" w:sz="0" w:space="0" w:color="auto"/>
            <w:left w:val="none" w:sz="0" w:space="0" w:color="auto"/>
            <w:bottom w:val="none" w:sz="0" w:space="0" w:color="auto"/>
            <w:right w:val="none" w:sz="0" w:space="0" w:color="auto"/>
          </w:divBdr>
        </w:div>
        <w:div w:id="2145926059">
          <w:marLeft w:val="1166"/>
          <w:marRight w:val="0"/>
          <w:marTop w:val="115"/>
          <w:marBottom w:val="0"/>
          <w:divBdr>
            <w:top w:val="none" w:sz="0" w:space="0" w:color="auto"/>
            <w:left w:val="none" w:sz="0" w:space="0" w:color="auto"/>
            <w:bottom w:val="none" w:sz="0" w:space="0" w:color="auto"/>
            <w:right w:val="none" w:sz="0" w:space="0" w:color="auto"/>
          </w:divBdr>
        </w:div>
        <w:div w:id="62409797">
          <w:marLeft w:val="1166"/>
          <w:marRight w:val="0"/>
          <w:marTop w:val="115"/>
          <w:marBottom w:val="0"/>
          <w:divBdr>
            <w:top w:val="none" w:sz="0" w:space="0" w:color="auto"/>
            <w:left w:val="none" w:sz="0" w:space="0" w:color="auto"/>
            <w:bottom w:val="none" w:sz="0" w:space="0" w:color="auto"/>
            <w:right w:val="none" w:sz="0" w:space="0" w:color="auto"/>
          </w:divBdr>
        </w:div>
        <w:div w:id="1814636592">
          <w:marLeft w:val="547"/>
          <w:marRight w:val="0"/>
          <w:marTop w:val="130"/>
          <w:marBottom w:val="0"/>
          <w:divBdr>
            <w:top w:val="none" w:sz="0" w:space="0" w:color="auto"/>
            <w:left w:val="none" w:sz="0" w:space="0" w:color="auto"/>
            <w:bottom w:val="none" w:sz="0" w:space="0" w:color="auto"/>
            <w:right w:val="none" w:sz="0" w:space="0" w:color="auto"/>
          </w:divBdr>
        </w:div>
        <w:div w:id="382019615">
          <w:marLeft w:val="1166"/>
          <w:marRight w:val="0"/>
          <w:marTop w:val="115"/>
          <w:marBottom w:val="0"/>
          <w:divBdr>
            <w:top w:val="none" w:sz="0" w:space="0" w:color="auto"/>
            <w:left w:val="none" w:sz="0" w:space="0" w:color="auto"/>
            <w:bottom w:val="none" w:sz="0" w:space="0" w:color="auto"/>
            <w:right w:val="none" w:sz="0" w:space="0" w:color="auto"/>
          </w:divBdr>
        </w:div>
        <w:div w:id="919559165">
          <w:marLeft w:val="1800"/>
          <w:marRight w:val="0"/>
          <w:marTop w:val="96"/>
          <w:marBottom w:val="0"/>
          <w:divBdr>
            <w:top w:val="none" w:sz="0" w:space="0" w:color="auto"/>
            <w:left w:val="none" w:sz="0" w:space="0" w:color="auto"/>
            <w:bottom w:val="none" w:sz="0" w:space="0" w:color="auto"/>
            <w:right w:val="none" w:sz="0" w:space="0" w:color="auto"/>
          </w:divBdr>
        </w:div>
        <w:div w:id="1132937964">
          <w:marLeft w:val="1166"/>
          <w:marRight w:val="0"/>
          <w:marTop w:val="115"/>
          <w:marBottom w:val="0"/>
          <w:divBdr>
            <w:top w:val="none" w:sz="0" w:space="0" w:color="auto"/>
            <w:left w:val="none" w:sz="0" w:space="0" w:color="auto"/>
            <w:bottom w:val="none" w:sz="0" w:space="0" w:color="auto"/>
            <w:right w:val="none" w:sz="0" w:space="0" w:color="auto"/>
          </w:divBdr>
        </w:div>
        <w:div w:id="1005354332">
          <w:marLeft w:val="1800"/>
          <w:marRight w:val="0"/>
          <w:marTop w:val="96"/>
          <w:marBottom w:val="0"/>
          <w:divBdr>
            <w:top w:val="none" w:sz="0" w:space="0" w:color="auto"/>
            <w:left w:val="none" w:sz="0" w:space="0" w:color="auto"/>
            <w:bottom w:val="none" w:sz="0" w:space="0" w:color="auto"/>
            <w:right w:val="none" w:sz="0" w:space="0" w:color="auto"/>
          </w:divBdr>
        </w:div>
        <w:div w:id="1929534829">
          <w:marLeft w:val="1800"/>
          <w:marRight w:val="0"/>
          <w:marTop w:val="96"/>
          <w:marBottom w:val="0"/>
          <w:divBdr>
            <w:top w:val="none" w:sz="0" w:space="0" w:color="auto"/>
            <w:left w:val="none" w:sz="0" w:space="0" w:color="auto"/>
            <w:bottom w:val="none" w:sz="0" w:space="0" w:color="auto"/>
            <w:right w:val="none" w:sz="0" w:space="0" w:color="auto"/>
          </w:divBdr>
        </w:div>
        <w:div w:id="1782802707">
          <w:marLeft w:val="1166"/>
          <w:marRight w:val="0"/>
          <w:marTop w:val="115"/>
          <w:marBottom w:val="0"/>
          <w:divBdr>
            <w:top w:val="none" w:sz="0" w:space="0" w:color="auto"/>
            <w:left w:val="none" w:sz="0" w:space="0" w:color="auto"/>
            <w:bottom w:val="none" w:sz="0" w:space="0" w:color="auto"/>
            <w:right w:val="none" w:sz="0" w:space="0" w:color="auto"/>
          </w:divBdr>
        </w:div>
        <w:div w:id="614992090">
          <w:marLeft w:val="1800"/>
          <w:marRight w:val="0"/>
          <w:marTop w:val="96"/>
          <w:marBottom w:val="0"/>
          <w:divBdr>
            <w:top w:val="none" w:sz="0" w:space="0" w:color="auto"/>
            <w:left w:val="none" w:sz="0" w:space="0" w:color="auto"/>
            <w:bottom w:val="none" w:sz="0" w:space="0" w:color="auto"/>
            <w:right w:val="none" w:sz="0" w:space="0" w:color="auto"/>
          </w:divBdr>
        </w:div>
      </w:divsChild>
    </w:div>
    <w:div w:id="362362886">
      <w:bodyDiv w:val="1"/>
      <w:marLeft w:val="0"/>
      <w:marRight w:val="0"/>
      <w:marTop w:val="0"/>
      <w:marBottom w:val="0"/>
      <w:divBdr>
        <w:top w:val="none" w:sz="0" w:space="0" w:color="auto"/>
        <w:left w:val="none" w:sz="0" w:space="0" w:color="auto"/>
        <w:bottom w:val="none" w:sz="0" w:space="0" w:color="auto"/>
        <w:right w:val="none" w:sz="0" w:space="0" w:color="auto"/>
      </w:divBdr>
      <w:divsChild>
        <w:div w:id="54813673">
          <w:marLeft w:val="547"/>
          <w:marRight w:val="0"/>
          <w:marTop w:val="130"/>
          <w:marBottom w:val="0"/>
          <w:divBdr>
            <w:top w:val="none" w:sz="0" w:space="0" w:color="auto"/>
            <w:left w:val="none" w:sz="0" w:space="0" w:color="auto"/>
            <w:bottom w:val="none" w:sz="0" w:space="0" w:color="auto"/>
            <w:right w:val="none" w:sz="0" w:space="0" w:color="auto"/>
          </w:divBdr>
        </w:div>
        <w:div w:id="1115320968">
          <w:marLeft w:val="1166"/>
          <w:marRight w:val="0"/>
          <w:marTop w:val="115"/>
          <w:marBottom w:val="0"/>
          <w:divBdr>
            <w:top w:val="none" w:sz="0" w:space="0" w:color="auto"/>
            <w:left w:val="none" w:sz="0" w:space="0" w:color="auto"/>
            <w:bottom w:val="none" w:sz="0" w:space="0" w:color="auto"/>
            <w:right w:val="none" w:sz="0" w:space="0" w:color="auto"/>
          </w:divBdr>
        </w:div>
        <w:div w:id="1897624868">
          <w:marLeft w:val="1166"/>
          <w:marRight w:val="0"/>
          <w:marTop w:val="115"/>
          <w:marBottom w:val="0"/>
          <w:divBdr>
            <w:top w:val="none" w:sz="0" w:space="0" w:color="auto"/>
            <w:left w:val="none" w:sz="0" w:space="0" w:color="auto"/>
            <w:bottom w:val="none" w:sz="0" w:space="0" w:color="auto"/>
            <w:right w:val="none" w:sz="0" w:space="0" w:color="auto"/>
          </w:divBdr>
        </w:div>
        <w:div w:id="588777278">
          <w:marLeft w:val="547"/>
          <w:marRight w:val="0"/>
          <w:marTop w:val="130"/>
          <w:marBottom w:val="0"/>
          <w:divBdr>
            <w:top w:val="none" w:sz="0" w:space="0" w:color="auto"/>
            <w:left w:val="none" w:sz="0" w:space="0" w:color="auto"/>
            <w:bottom w:val="none" w:sz="0" w:space="0" w:color="auto"/>
            <w:right w:val="none" w:sz="0" w:space="0" w:color="auto"/>
          </w:divBdr>
        </w:div>
        <w:div w:id="266427031">
          <w:marLeft w:val="1166"/>
          <w:marRight w:val="0"/>
          <w:marTop w:val="115"/>
          <w:marBottom w:val="0"/>
          <w:divBdr>
            <w:top w:val="none" w:sz="0" w:space="0" w:color="auto"/>
            <w:left w:val="none" w:sz="0" w:space="0" w:color="auto"/>
            <w:bottom w:val="none" w:sz="0" w:space="0" w:color="auto"/>
            <w:right w:val="none" w:sz="0" w:space="0" w:color="auto"/>
          </w:divBdr>
        </w:div>
        <w:div w:id="1823425925">
          <w:marLeft w:val="1166"/>
          <w:marRight w:val="0"/>
          <w:marTop w:val="115"/>
          <w:marBottom w:val="0"/>
          <w:divBdr>
            <w:top w:val="none" w:sz="0" w:space="0" w:color="auto"/>
            <w:left w:val="none" w:sz="0" w:space="0" w:color="auto"/>
            <w:bottom w:val="none" w:sz="0" w:space="0" w:color="auto"/>
            <w:right w:val="none" w:sz="0" w:space="0" w:color="auto"/>
          </w:divBdr>
        </w:div>
      </w:divsChild>
    </w:div>
    <w:div w:id="391344862">
      <w:bodyDiv w:val="1"/>
      <w:marLeft w:val="0"/>
      <w:marRight w:val="0"/>
      <w:marTop w:val="0"/>
      <w:marBottom w:val="0"/>
      <w:divBdr>
        <w:top w:val="none" w:sz="0" w:space="0" w:color="auto"/>
        <w:left w:val="none" w:sz="0" w:space="0" w:color="auto"/>
        <w:bottom w:val="none" w:sz="0" w:space="0" w:color="auto"/>
        <w:right w:val="none" w:sz="0" w:space="0" w:color="auto"/>
      </w:divBdr>
      <w:divsChild>
        <w:div w:id="2046904699">
          <w:marLeft w:val="547"/>
          <w:marRight w:val="0"/>
          <w:marTop w:val="115"/>
          <w:marBottom w:val="0"/>
          <w:divBdr>
            <w:top w:val="none" w:sz="0" w:space="0" w:color="auto"/>
            <w:left w:val="none" w:sz="0" w:space="0" w:color="auto"/>
            <w:bottom w:val="none" w:sz="0" w:space="0" w:color="auto"/>
            <w:right w:val="none" w:sz="0" w:space="0" w:color="auto"/>
          </w:divBdr>
        </w:div>
        <w:div w:id="972368992">
          <w:marLeft w:val="1166"/>
          <w:marRight w:val="0"/>
          <w:marTop w:val="115"/>
          <w:marBottom w:val="0"/>
          <w:divBdr>
            <w:top w:val="none" w:sz="0" w:space="0" w:color="auto"/>
            <w:left w:val="none" w:sz="0" w:space="0" w:color="auto"/>
            <w:bottom w:val="none" w:sz="0" w:space="0" w:color="auto"/>
            <w:right w:val="none" w:sz="0" w:space="0" w:color="auto"/>
          </w:divBdr>
        </w:div>
        <w:div w:id="2054037390">
          <w:marLeft w:val="1166"/>
          <w:marRight w:val="0"/>
          <w:marTop w:val="115"/>
          <w:marBottom w:val="0"/>
          <w:divBdr>
            <w:top w:val="none" w:sz="0" w:space="0" w:color="auto"/>
            <w:left w:val="none" w:sz="0" w:space="0" w:color="auto"/>
            <w:bottom w:val="none" w:sz="0" w:space="0" w:color="auto"/>
            <w:right w:val="none" w:sz="0" w:space="0" w:color="auto"/>
          </w:divBdr>
        </w:div>
        <w:div w:id="1795253646">
          <w:marLeft w:val="1166"/>
          <w:marRight w:val="0"/>
          <w:marTop w:val="115"/>
          <w:marBottom w:val="0"/>
          <w:divBdr>
            <w:top w:val="none" w:sz="0" w:space="0" w:color="auto"/>
            <w:left w:val="none" w:sz="0" w:space="0" w:color="auto"/>
            <w:bottom w:val="none" w:sz="0" w:space="0" w:color="auto"/>
            <w:right w:val="none" w:sz="0" w:space="0" w:color="auto"/>
          </w:divBdr>
        </w:div>
      </w:divsChild>
    </w:div>
    <w:div w:id="399250092">
      <w:bodyDiv w:val="1"/>
      <w:marLeft w:val="0"/>
      <w:marRight w:val="0"/>
      <w:marTop w:val="0"/>
      <w:marBottom w:val="0"/>
      <w:divBdr>
        <w:top w:val="none" w:sz="0" w:space="0" w:color="auto"/>
        <w:left w:val="none" w:sz="0" w:space="0" w:color="auto"/>
        <w:bottom w:val="none" w:sz="0" w:space="0" w:color="auto"/>
        <w:right w:val="none" w:sz="0" w:space="0" w:color="auto"/>
      </w:divBdr>
      <w:divsChild>
        <w:div w:id="942080609">
          <w:marLeft w:val="547"/>
          <w:marRight w:val="0"/>
          <w:marTop w:val="120"/>
          <w:marBottom w:val="0"/>
          <w:divBdr>
            <w:top w:val="none" w:sz="0" w:space="0" w:color="auto"/>
            <w:left w:val="none" w:sz="0" w:space="0" w:color="auto"/>
            <w:bottom w:val="none" w:sz="0" w:space="0" w:color="auto"/>
            <w:right w:val="none" w:sz="0" w:space="0" w:color="auto"/>
          </w:divBdr>
        </w:div>
        <w:div w:id="117264817">
          <w:marLeft w:val="547"/>
          <w:marRight w:val="0"/>
          <w:marTop w:val="120"/>
          <w:marBottom w:val="0"/>
          <w:divBdr>
            <w:top w:val="none" w:sz="0" w:space="0" w:color="auto"/>
            <w:left w:val="none" w:sz="0" w:space="0" w:color="auto"/>
            <w:bottom w:val="none" w:sz="0" w:space="0" w:color="auto"/>
            <w:right w:val="none" w:sz="0" w:space="0" w:color="auto"/>
          </w:divBdr>
        </w:div>
        <w:div w:id="36244371">
          <w:marLeft w:val="1166"/>
          <w:marRight w:val="0"/>
          <w:marTop w:val="106"/>
          <w:marBottom w:val="0"/>
          <w:divBdr>
            <w:top w:val="none" w:sz="0" w:space="0" w:color="auto"/>
            <w:left w:val="none" w:sz="0" w:space="0" w:color="auto"/>
            <w:bottom w:val="none" w:sz="0" w:space="0" w:color="auto"/>
            <w:right w:val="none" w:sz="0" w:space="0" w:color="auto"/>
          </w:divBdr>
        </w:div>
        <w:div w:id="2008054417">
          <w:marLeft w:val="1166"/>
          <w:marRight w:val="0"/>
          <w:marTop w:val="106"/>
          <w:marBottom w:val="0"/>
          <w:divBdr>
            <w:top w:val="none" w:sz="0" w:space="0" w:color="auto"/>
            <w:left w:val="none" w:sz="0" w:space="0" w:color="auto"/>
            <w:bottom w:val="none" w:sz="0" w:space="0" w:color="auto"/>
            <w:right w:val="none" w:sz="0" w:space="0" w:color="auto"/>
          </w:divBdr>
        </w:div>
        <w:div w:id="1006057097">
          <w:marLeft w:val="1166"/>
          <w:marRight w:val="0"/>
          <w:marTop w:val="106"/>
          <w:marBottom w:val="0"/>
          <w:divBdr>
            <w:top w:val="none" w:sz="0" w:space="0" w:color="auto"/>
            <w:left w:val="none" w:sz="0" w:space="0" w:color="auto"/>
            <w:bottom w:val="none" w:sz="0" w:space="0" w:color="auto"/>
            <w:right w:val="none" w:sz="0" w:space="0" w:color="auto"/>
          </w:divBdr>
        </w:div>
        <w:div w:id="2135563427">
          <w:marLeft w:val="547"/>
          <w:marRight w:val="0"/>
          <w:marTop w:val="120"/>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30396494">
      <w:bodyDiv w:val="1"/>
      <w:marLeft w:val="0"/>
      <w:marRight w:val="0"/>
      <w:marTop w:val="0"/>
      <w:marBottom w:val="0"/>
      <w:divBdr>
        <w:top w:val="none" w:sz="0" w:space="0" w:color="auto"/>
        <w:left w:val="none" w:sz="0" w:space="0" w:color="auto"/>
        <w:bottom w:val="none" w:sz="0" w:space="0" w:color="auto"/>
        <w:right w:val="none" w:sz="0" w:space="0" w:color="auto"/>
      </w:divBdr>
      <w:divsChild>
        <w:div w:id="61562513">
          <w:marLeft w:val="547"/>
          <w:marRight w:val="0"/>
          <w:marTop w:val="144"/>
          <w:marBottom w:val="0"/>
          <w:divBdr>
            <w:top w:val="none" w:sz="0" w:space="0" w:color="auto"/>
            <w:left w:val="none" w:sz="0" w:space="0" w:color="auto"/>
            <w:bottom w:val="none" w:sz="0" w:space="0" w:color="auto"/>
            <w:right w:val="none" w:sz="0" w:space="0" w:color="auto"/>
          </w:divBdr>
        </w:div>
        <w:div w:id="50232016">
          <w:marLeft w:val="1166"/>
          <w:marRight w:val="0"/>
          <w:marTop w:val="144"/>
          <w:marBottom w:val="0"/>
          <w:divBdr>
            <w:top w:val="none" w:sz="0" w:space="0" w:color="auto"/>
            <w:left w:val="none" w:sz="0" w:space="0" w:color="auto"/>
            <w:bottom w:val="none" w:sz="0" w:space="0" w:color="auto"/>
            <w:right w:val="none" w:sz="0" w:space="0" w:color="auto"/>
          </w:divBdr>
        </w:div>
        <w:div w:id="453598318">
          <w:marLeft w:val="547"/>
          <w:marRight w:val="0"/>
          <w:marTop w:val="144"/>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4464961">
      <w:bodyDiv w:val="1"/>
      <w:marLeft w:val="0"/>
      <w:marRight w:val="0"/>
      <w:marTop w:val="0"/>
      <w:marBottom w:val="0"/>
      <w:divBdr>
        <w:top w:val="none" w:sz="0" w:space="0" w:color="auto"/>
        <w:left w:val="none" w:sz="0" w:space="0" w:color="auto"/>
        <w:bottom w:val="none" w:sz="0" w:space="0" w:color="auto"/>
        <w:right w:val="none" w:sz="0" w:space="0" w:color="auto"/>
      </w:divBdr>
      <w:divsChild>
        <w:div w:id="643661693">
          <w:marLeft w:val="547"/>
          <w:marRight w:val="0"/>
          <w:marTop w:val="130"/>
          <w:marBottom w:val="0"/>
          <w:divBdr>
            <w:top w:val="none" w:sz="0" w:space="0" w:color="auto"/>
            <w:left w:val="none" w:sz="0" w:space="0" w:color="auto"/>
            <w:bottom w:val="none" w:sz="0" w:space="0" w:color="auto"/>
            <w:right w:val="none" w:sz="0" w:space="0" w:color="auto"/>
          </w:divBdr>
        </w:div>
        <w:div w:id="233441031">
          <w:marLeft w:val="1166"/>
          <w:marRight w:val="0"/>
          <w:marTop w:val="115"/>
          <w:marBottom w:val="0"/>
          <w:divBdr>
            <w:top w:val="none" w:sz="0" w:space="0" w:color="auto"/>
            <w:left w:val="none" w:sz="0" w:space="0" w:color="auto"/>
            <w:bottom w:val="none" w:sz="0" w:space="0" w:color="auto"/>
            <w:right w:val="none" w:sz="0" w:space="0" w:color="auto"/>
          </w:divBdr>
        </w:div>
        <w:div w:id="18549384">
          <w:marLeft w:val="1166"/>
          <w:marRight w:val="0"/>
          <w:marTop w:val="115"/>
          <w:marBottom w:val="0"/>
          <w:divBdr>
            <w:top w:val="none" w:sz="0" w:space="0" w:color="auto"/>
            <w:left w:val="none" w:sz="0" w:space="0" w:color="auto"/>
            <w:bottom w:val="none" w:sz="0" w:space="0" w:color="auto"/>
            <w:right w:val="none" w:sz="0" w:space="0" w:color="auto"/>
          </w:divBdr>
        </w:div>
        <w:div w:id="1792095040">
          <w:marLeft w:val="1800"/>
          <w:marRight w:val="0"/>
          <w:marTop w:val="96"/>
          <w:marBottom w:val="0"/>
          <w:divBdr>
            <w:top w:val="none" w:sz="0" w:space="0" w:color="auto"/>
            <w:left w:val="none" w:sz="0" w:space="0" w:color="auto"/>
            <w:bottom w:val="none" w:sz="0" w:space="0" w:color="auto"/>
            <w:right w:val="none" w:sz="0" w:space="0" w:color="auto"/>
          </w:divBdr>
        </w:div>
        <w:div w:id="387804612">
          <w:marLeft w:val="1166"/>
          <w:marRight w:val="0"/>
          <w:marTop w:val="115"/>
          <w:marBottom w:val="0"/>
          <w:divBdr>
            <w:top w:val="none" w:sz="0" w:space="0" w:color="auto"/>
            <w:left w:val="none" w:sz="0" w:space="0" w:color="auto"/>
            <w:bottom w:val="none" w:sz="0" w:space="0" w:color="auto"/>
            <w:right w:val="none" w:sz="0" w:space="0" w:color="auto"/>
          </w:divBdr>
        </w:div>
        <w:div w:id="522862797">
          <w:marLeft w:val="1800"/>
          <w:marRight w:val="0"/>
          <w:marTop w:val="96"/>
          <w:marBottom w:val="0"/>
          <w:divBdr>
            <w:top w:val="none" w:sz="0" w:space="0" w:color="auto"/>
            <w:left w:val="none" w:sz="0" w:space="0" w:color="auto"/>
            <w:bottom w:val="none" w:sz="0" w:space="0" w:color="auto"/>
            <w:right w:val="none" w:sz="0" w:space="0" w:color="auto"/>
          </w:divBdr>
        </w:div>
        <w:div w:id="188227308">
          <w:marLeft w:val="1800"/>
          <w:marRight w:val="0"/>
          <w:marTop w:val="96"/>
          <w:marBottom w:val="0"/>
          <w:divBdr>
            <w:top w:val="none" w:sz="0" w:space="0" w:color="auto"/>
            <w:left w:val="none" w:sz="0" w:space="0" w:color="auto"/>
            <w:bottom w:val="none" w:sz="0" w:space="0" w:color="auto"/>
            <w:right w:val="none" w:sz="0" w:space="0" w:color="auto"/>
          </w:divBdr>
        </w:div>
        <w:div w:id="1995864794">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71755452">
      <w:bodyDiv w:val="1"/>
      <w:marLeft w:val="0"/>
      <w:marRight w:val="0"/>
      <w:marTop w:val="0"/>
      <w:marBottom w:val="0"/>
      <w:divBdr>
        <w:top w:val="none" w:sz="0" w:space="0" w:color="auto"/>
        <w:left w:val="none" w:sz="0" w:space="0" w:color="auto"/>
        <w:bottom w:val="none" w:sz="0" w:space="0" w:color="auto"/>
        <w:right w:val="none" w:sz="0" w:space="0" w:color="auto"/>
      </w:divBdr>
      <w:divsChild>
        <w:div w:id="559292686">
          <w:marLeft w:val="547"/>
          <w:marRight w:val="0"/>
          <w:marTop w:val="130"/>
          <w:marBottom w:val="0"/>
          <w:divBdr>
            <w:top w:val="none" w:sz="0" w:space="0" w:color="auto"/>
            <w:left w:val="none" w:sz="0" w:space="0" w:color="auto"/>
            <w:bottom w:val="none" w:sz="0" w:space="0" w:color="auto"/>
            <w:right w:val="none" w:sz="0" w:space="0" w:color="auto"/>
          </w:divBdr>
        </w:div>
        <w:div w:id="674647463">
          <w:marLeft w:val="547"/>
          <w:marRight w:val="0"/>
          <w:marTop w:val="130"/>
          <w:marBottom w:val="0"/>
          <w:divBdr>
            <w:top w:val="none" w:sz="0" w:space="0" w:color="auto"/>
            <w:left w:val="none" w:sz="0" w:space="0" w:color="auto"/>
            <w:bottom w:val="none" w:sz="0" w:space="0" w:color="auto"/>
            <w:right w:val="none" w:sz="0" w:space="0" w:color="auto"/>
          </w:divBdr>
        </w:div>
        <w:div w:id="69544017">
          <w:marLeft w:val="1166"/>
          <w:marRight w:val="0"/>
          <w:marTop w:val="115"/>
          <w:marBottom w:val="0"/>
          <w:divBdr>
            <w:top w:val="none" w:sz="0" w:space="0" w:color="auto"/>
            <w:left w:val="none" w:sz="0" w:space="0" w:color="auto"/>
            <w:bottom w:val="none" w:sz="0" w:space="0" w:color="auto"/>
            <w:right w:val="none" w:sz="0" w:space="0" w:color="auto"/>
          </w:divBdr>
        </w:div>
        <w:div w:id="2103454526">
          <w:marLeft w:val="1166"/>
          <w:marRight w:val="0"/>
          <w:marTop w:val="115"/>
          <w:marBottom w:val="0"/>
          <w:divBdr>
            <w:top w:val="none" w:sz="0" w:space="0" w:color="auto"/>
            <w:left w:val="none" w:sz="0" w:space="0" w:color="auto"/>
            <w:bottom w:val="none" w:sz="0" w:space="0" w:color="auto"/>
            <w:right w:val="none" w:sz="0" w:space="0" w:color="auto"/>
          </w:divBdr>
        </w:div>
        <w:div w:id="1721443725">
          <w:marLeft w:val="547"/>
          <w:marRight w:val="0"/>
          <w:marTop w:val="130"/>
          <w:marBottom w:val="0"/>
          <w:divBdr>
            <w:top w:val="none" w:sz="0" w:space="0" w:color="auto"/>
            <w:left w:val="none" w:sz="0" w:space="0" w:color="auto"/>
            <w:bottom w:val="none" w:sz="0" w:space="0" w:color="auto"/>
            <w:right w:val="none" w:sz="0" w:space="0" w:color="auto"/>
          </w:divBdr>
        </w:div>
        <w:div w:id="1677540023">
          <w:marLeft w:val="1166"/>
          <w:marRight w:val="0"/>
          <w:marTop w:val="115"/>
          <w:marBottom w:val="0"/>
          <w:divBdr>
            <w:top w:val="none" w:sz="0" w:space="0" w:color="auto"/>
            <w:left w:val="none" w:sz="0" w:space="0" w:color="auto"/>
            <w:bottom w:val="none" w:sz="0" w:space="0" w:color="auto"/>
            <w:right w:val="none" w:sz="0" w:space="0" w:color="auto"/>
          </w:divBdr>
        </w:div>
        <w:div w:id="1099907594">
          <w:marLeft w:val="1166"/>
          <w:marRight w:val="0"/>
          <w:marTop w:val="115"/>
          <w:marBottom w:val="0"/>
          <w:divBdr>
            <w:top w:val="none" w:sz="0" w:space="0" w:color="auto"/>
            <w:left w:val="none" w:sz="0" w:space="0" w:color="auto"/>
            <w:bottom w:val="none" w:sz="0" w:space="0" w:color="auto"/>
            <w:right w:val="none" w:sz="0" w:space="0" w:color="auto"/>
          </w:divBdr>
        </w:div>
      </w:divsChild>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494345753">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604925225">
      <w:bodyDiv w:val="1"/>
      <w:marLeft w:val="0"/>
      <w:marRight w:val="0"/>
      <w:marTop w:val="0"/>
      <w:marBottom w:val="0"/>
      <w:divBdr>
        <w:top w:val="none" w:sz="0" w:space="0" w:color="auto"/>
        <w:left w:val="none" w:sz="0" w:space="0" w:color="auto"/>
        <w:bottom w:val="none" w:sz="0" w:space="0" w:color="auto"/>
        <w:right w:val="none" w:sz="0" w:space="0" w:color="auto"/>
      </w:divBdr>
      <w:divsChild>
        <w:div w:id="1291742692">
          <w:marLeft w:val="547"/>
          <w:marRight w:val="0"/>
          <w:marTop w:val="154"/>
          <w:marBottom w:val="0"/>
          <w:divBdr>
            <w:top w:val="none" w:sz="0" w:space="0" w:color="auto"/>
            <w:left w:val="none" w:sz="0" w:space="0" w:color="auto"/>
            <w:bottom w:val="none" w:sz="0" w:space="0" w:color="auto"/>
            <w:right w:val="none" w:sz="0" w:space="0" w:color="auto"/>
          </w:divBdr>
        </w:div>
        <w:div w:id="973608499">
          <w:marLeft w:val="1166"/>
          <w:marRight w:val="0"/>
          <w:marTop w:val="134"/>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55769947">
      <w:bodyDiv w:val="1"/>
      <w:marLeft w:val="0"/>
      <w:marRight w:val="0"/>
      <w:marTop w:val="0"/>
      <w:marBottom w:val="0"/>
      <w:divBdr>
        <w:top w:val="none" w:sz="0" w:space="0" w:color="auto"/>
        <w:left w:val="none" w:sz="0" w:space="0" w:color="auto"/>
        <w:bottom w:val="none" w:sz="0" w:space="0" w:color="auto"/>
        <w:right w:val="none" w:sz="0" w:space="0" w:color="auto"/>
      </w:divBdr>
      <w:divsChild>
        <w:div w:id="12347541">
          <w:marLeft w:val="547"/>
          <w:marRight w:val="0"/>
          <w:marTop w:val="154"/>
          <w:marBottom w:val="0"/>
          <w:divBdr>
            <w:top w:val="none" w:sz="0" w:space="0" w:color="auto"/>
            <w:left w:val="none" w:sz="0" w:space="0" w:color="auto"/>
            <w:bottom w:val="none" w:sz="0" w:space="0" w:color="auto"/>
            <w:right w:val="none" w:sz="0" w:space="0" w:color="auto"/>
          </w:divBdr>
        </w:div>
        <w:div w:id="697436834">
          <w:marLeft w:val="1166"/>
          <w:marRight w:val="0"/>
          <w:marTop w:val="134"/>
          <w:marBottom w:val="0"/>
          <w:divBdr>
            <w:top w:val="none" w:sz="0" w:space="0" w:color="auto"/>
            <w:left w:val="none" w:sz="0" w:space="0" w:color="auto"/>
            <w:bottom w:val="none" w:sz="0" w:space="0" w:color="auto"/>
            <w:right w:val="none" w:sz="0" w:space="0" w:color="auto"/>
          </w:divBdr>
        </w:div>
        <w:div w:id="1968781540">
          <w:marLeft w:val="1166"/>
          <w:marRight w:val="0"/>
          <w:marTop w:val="134"/>
          <w:marBottom w:val="0"/>
          <w:divBdr>
            <w:top w:val="none" w:sz="0" w:space="0" w:color="auto"/>
            <w:left w:val="none" w:sz="0" w:space="0" w:color="auto"/>
            <w:bottom w:val="none" w:sz="0" w:space="0" w:color="auto"/>
            <w:right w:val="none" w:sz="0" w:space="0" w:color="auto"/>
          </w:divBdr>
        </w:div>
      </w:divsChild>
    </w:div>
    <w:div w:id="665864045">
      <w:bodyDiv w:val="1"/>
      <w:marLeft w:val="0"/>
      <w:marRight w:val="0"/>
      <w:marTop w:val="0"/>
      <w:marBottom w:val="0"/>
      <w:divBdr>
        <w:top w:val="none" w:sz="0" w:space="0" w:color="auto"/>
        <w:left w:val="none" w:sz="0" w:space="0" w:color="auto"/>
        <w:bottom w:val="none" w:sz="0" w:space="0" w:color="auto"/>
        <w:right w:val="none" w:sz="0" w:space="0" w:color="auto"/>
      </w:divBdr>
      <w:divsChild>
        <w:div w:id="2093618744">
          <w:marLeft w:val="547"/>
          <w:marRight w:val="0"/>
          <w:marTop w:val="120"/>
          <w:marBottom w:val="0"/>
          <w:divBdr>
            <w:top w:val="none" w:sz="0" w:space="0" w:color="auto"/>
            <w:left w:val="none" w:sz="0" w:space="0" w:color="auto"/>
            <w:bottom w:val="none" w:sz="0" w:space="0" w:color="auto"/>
            <w:right w:val="none" w:sz="0" w:space="0" w:color="auto"/>
          </w:divBdr>
        </w:div>
        <w:div w:id="2036347622">
          <w:marLeft w:val="1166"/>
          <w:marRight w:val="0"/>
          <w:marTop w:val="106"/>
          <w:marBottom w:val="0"/>
          <w:divBdr>
            <w:top w:val="none" w:sz="0" w:space="0" w:color="auto"/>
            <w:left w:val="none" w:sz="0" w:space="0" w:color="auto"/>
            <w:bottom w:val="none" w:sz="0" w:space="0" w:color="auto"/>
            <w:right w:val="none" w:sz="0" w:space="0" w:color="auto"/>
          </w:divBdr>
        </w:div>
        <w:div w:id="268703628">
          <w:marLeft w:val="547"/>
          <w:marRight w:val="0"/>
          <w:marTop w:val="120"/>
          <w:marBottom w:val="0"/>
          <w:divBdr>
            <w:top w:val="none" w:sz="0" w:space="0" w:color="auto"/>
            <w:left w:val="none" w:sz="0" w:space="0" w:color="auto"/>
            <w:bottom w:val="none" w:sz="0" w:space="0" w:color="auto"/>
            <w:right w:val="none" w:sz="0" w:space="0" w:color="auto"/>
          </w:divBdr>
        </w:div>
        <w:div w:id="1749571368">
          <w:marLeft w:val="1166"/>
          <w:marRight w:val="0"/>
          <w:marTop w:val="106"/>
          <w:marBottom w:val="0"/>
          <w:divBdr>
            <w:top w:val="none" w:sz="0" w:space="0" w:color="auto"/>
            <w:left w:val="none" w:sz="0" w:space="0" w:color="auto"/>
            <w:bottom w:val="none" w:sz="0" w:space="0" w:color="auto"/>
            <w:right w:val="none" w:sz="0" w:space="0" w:color="auto"/>
          </w:divBdr>
        </w:div>
        <w:div w:id="1354530113">
          <w:marLeft w:val="1166"/>
          <w:marRight w:val="0"/>
          <w:marTop w:val="106"/>
          <w:marBottom w:val="0"/>
          <w:divBdr>
            <w:top w:val="none" w:sz="0" w:space="0" w:color="auto"/>
            <w:left w:val="none" w:sz="0" w:space="0" w:color="auto"/>
            <w:bottom w:val="none" w:sz="0" w:space="0" w:color="auto"/>
            <w:right w:val="none" w:sz="0" w:space="0" w:color="auto"/>
          </w:divBdr>
        </w:div>
        <w:div w:id="936256472">
          <w:marLeft w:val="1800"/>
          <w:marRight w:val="0"/>
          <w:marTop w:val="91"/>
          <w:marBottom w:val="0"/>
          <w:divBdr>
            <w:top w:val="none" w:sz="0" w:space="0" w:color="auto"/>
            <w:left w:val="none" w:sz="0" w:space="0" w:color="auto"/>
            <w:bottom w:val="none" w:sz="0" w:space="0" w:color="auto"/>
            <w:right w:val="none" w:sz="0" w:space="0" w:color="auto"/>
          </w:divBdr>
        </w:div>
        <w:div w:id="281499504">
          <w:marLeft w:val="1800"/>
          <w:marRight w:val="0"/>
          <w:marTop w:val="91"/>
          <w:marBottom w:val="0"/>
          <w:divBdr>
            <w:top w:val="none" w:sz="0" w:space="0" w:color="auto"/>
            <w:left w:val="none" w:sz="0" w:space="0" w:color="auto"/>
            <w:bottom w:val="none" w:sz="0" w:space="0" w:color="auto"/>
            <w:right w:val="none" w:sz="0" w:space="0" w:color="auto"/>
          </w:divBdr>
        </w:div>
        <w:div w:id="1427459656">
          <w:marLeft w:val="1166"/>
          <w:marRight w:val="0"/>
          <w:marTop w:val="106"/>
          <w:marBottom w:val="0"/>
          <w:divBdr>
            <w:top w:val="none" w:sz="0" w:space="0" w:color="auto"/>
            <w:left w:val="none" w:sz="0" w:space="0" w:color="auto"/>
            <w:bottom w:val="none" w:sz="0" w:space="0" w:color="auto"/>
            <w:right w:val="none" w:sz="0" w:space="0" w:color="auto"/>
          </w:divBdr>
        </w:div>
        <w:div w:id="1688675962">
          <w:marLeft w:val="1166"/>
          <w:marRight w:val="0"/>
          <w:marTop w:val="106"/>
          <w:marBottom w:val="0"/>
          <w:divBdr>
            <w:top w:val="none" w:sz="0" w:space="0" w:color="auto"/>
            <w:left w:val="none" w:sz="0" w:space="0" w:color="auto"/>
            <w:bottom w:val="none" w:sz="0" w:space="0" w:color="auto"/>
            <w:right w:val="none" w:sz="0" w:space="0" w:color="auto"/>
          </w:divBdr>
        </w:div>
        <w:div w:id="183835529">
          <w:marLeft w:val="547"/>
          <w:marRight w:val="0"/>
          <w:marTop w:val="120"/>
          <w:marBottom w:val="0"/>
          <w:divBdr>
            <w:top w:val="none" w:sz="0" w:space="0" w:color="auto"/>
            <w:left w:val="none" w:sz="0" w:space="0" w:color="auto"/>
            <w:bottom w:val="none" w:sz="0" w:space="0" w:color="auto"/>
            <w:right w:val="none" w:sz="0" w:space="0" w:color="auto"/>
          </w:divBdr>
        </w:div>
        <w:div w:id="1845240098">
          <w:marLeft w:val="547"/>
          <w:marRight w:val="0"/>
          <w:marTop w:val="120"/>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33704310">
      <w:bodyDiv w:val="1"/>
      <w:marLeft w:val="0"/>
      <w:marRight w:val="0"/>
      <w:marTop w:val="0"/>
      <w:marBottom w:val="0"/>
      <w:divBdr>
        <w:top w:val="none" w:sz="0" w:space="0" w:color="auto"/>
        <w:left w:val="none" w:sz="0" w:space="0" w:color="auto"/>
        <w:bottom w:val="none" w:sz="0" w:space="0" w:color="auto"/>
        <w:right w:val="none" w:sz="0" w:space="0" w:color="auto"/>
      </w:divBdr>
      <w:divsChild>
        <w:div w:id="399719569">
          <w:marLeft w:val="547"/>
          <w:marRight w:val="0"/>
          <w:marTop w:val="86"/>
          <w:marBottom w:val="0"/>
          <w:divBdr>
            <w:top w:val="none" w:sz="0" w:space="0" w:color="auto"/>
            <w:left w:val="none" w:sz="0" w:space="0" w:color="auto"/>
            <w:bottom w:val="none" w:sz="0" w:space="0" w:color="auto"/>
            <w:right w:val="none" w:sz="0" w:space="0" w:color="auto"/>
          </w:divBdr>
        </w:div>
        <w:div w:id="1751805808">
          <w:marLeft w:val="1166"/>
          <w:marRight w:val="0"/>
          <w:marTop w:val="86"/>
          <w:marBottom w:val="0"/>
          <w:divBdr>
            <w:top w:val="none" w:sz="0" w:space="0" w:color="auto"/>
            <w:left w:val="none" w:sz="0" w:space="0" w:color="auto"/>
            <w:bottom w:val="none" w:sz="0" w:space="0" w:color="auto"/>
            <w:right w:val="none" w:sz="0" w:space="0" w:color="auto"/>
          </w:divBdr>
        </w:div>
        <w:div w:id="1605960802">
          <w:marLeft w:val="1166"/>
          <w:marRight w:val="0"/>
          <w:marTop w:val="86"/>
          <w:marBottom w:val="0"/>
          <w:divBdr>
            <w:top w:val="none" w:sz="0" w:space="0" w:color="auto"/>
            <w:left w:val="none" w:sz="0" w:space="0" w:color="auto"/>
            <w:bottom w:val="none" w:sz="0" w:space="0" w:color="auto"/>
            <w:right w:val="none" w:sz="0" w:space="0" w:color="auto"/>
          </w:divBdr>
        </w:div>
        <w:div w:id="1777213121">
          <w:marLeft w:val="1166"/>
          <w:marRight w:val="0"/>
          <w:marTop w:val="86"/>
          <w:marBottom w:val="0"/>
          <w:divBdr>
            <w:top w:val="none" w:sz="0" w:space="0" w:color="auto"/>
            <w:left w:val="none" w:sz="0" w:space="0" w:color="auto"/>
            <w:bottom w:val="none" w:sz="0" w:space="0" w:color="auto"/>
            <w:right w:val="none" w:sz="0" w:space="0" w:color="auto"/>
          </w:divBdr>
        </w:div>
        <w:div w:id="1344630333">
          <w:marLeft w:val="1166"/>
          <w:marRight w:val="0"/>
          <w:marTop w:val="86"/>
          <w:marBottom w:val="0"/>
          <w:divBdr>
            <w:top w:val="none" w:sz="0" w:space="0" w:color="auto"/>
            <w:left w:val="none" w:sz="0" w:space="0" w:color="auto"/>
            <w:bottom w:val="none" w:sz="0" w:space="0" w:color="auto"/>
            <w:right w:val="none" w:sz="0" w:space="0" w:color="auto"/>
          </w:divBdr>
        </w:div>
        <w:div w:id="366829874">
          <w:marLeft w:val="1166"/>
          <w:marRight w:val="0"/>
          <w:marTop w:val="86"/>
          <w:marBottom w:val="0"/>
          <w:divBdr>
            <w:top w:val="none" w:sz="0" w:space="0" w:color="auto"/>
            <w:left w:val="none" w:sz="0" w:space="0" w:color="auto"/>
            <w:bottom w:val="none" w:sz="0" w:space="0" w:color="auto"/>
            <w:right w:val="none" w:sz="0" w:space="0" w:color="auto"/>
          </w:divBdr>
        </w:div>
        <w:div w:id="1325668439">
          <w:marLeft w:val="547"/>
          <w:marRight w:val="0"/>
          <w:marTop w:val="86"/>
          <w:marBottom w:val="0"/>
          <w:divBdr>
            <w:top w:val="none" w:sz="0" w:space="0" w:color="auto"/>
            <w:left w:val="none" w:sz="0" w:space="0" w:color="auto"/>
            <w:bottom w:val="none" w:sz="0" w:space="0" w:color="auto"/>
            <w:right w:val="none" w:sz="0" w:space="0" w:color="auto"/>
          </w:divBdr>
        </w:div>
        <w:div w:id="685401503">
          <w:marLeft w:val="1166"/>
          <w:marRight w:val="0"/>
          <w:marTop w:val="86"/>
          <w:marBottom w:val="0"/>
          <w:divBdr>
            <w:top w:val="none" w:sz="0" w:space="0" w:color="auto"/>
            <w:left w:val="none" w:sz="0" w:space="0" w:color="auto"/>
            <w:bottom w:val="none" w:sz="0" w:space="0" w:color="auto"/>
            <w:right w:val="none" w:sz="0" w:space="0" w:color="auto"/>
          </w:divBdr>
        </w:div>
        <w:div w:id="1978103787">
          <w:marLeft w:val="1166"/>
          <w:marRight w:val="0"/>
          <w:marTop w:val="86"/>
          <w:marBottom w:val="0"/>
          <w:divBdr>
            <w:top w:val="none" w:sz="0" w:space="0" w:color="auto"/>
            <w:left w:val="none" w:sz="0" w:space="0" w:color="auto"/>
            <w:bottom w:val="none" w:sz="0" w:space="0" w:color="auto"/>
            <w:right w:val="none" w:sz="0" w:space="0" w:color="auto"/>
          </w:divBdr>
        </w:div>
        <w:div w:id="1032151642">
          <w:marLeft w:val="547"/>
          <w:marRight w:val="0"/>
          <w:marTop w:val="86"/>
          <w:marBottom w:val="0"/>
          <w:divBdr>
            <w:top w:val="none" w:sz="0" w:space="0" w:color="auto"/>
            <w:left w:val="none" w:sz="0" w:space="0" w:color="auto"/>
            <w:bottom w:val="none" w:sz="0" w:space="0" w:color="auto"/>
            <w:right w:val="none" w:sz="0" w:space="0" w:color="auto"/>
          </w:divBdr>
        </w:div>
        <w:div w:id="1870532140">
          <w:marLeft w:val="1166"/>
          <w:marRight w:val="0"/>
          <w:marTop w:val="86"/>
          <w:marBottom w:val="0"/>
          <w:divBdr>
            <w:top w:val="none" w:sz="0" w:space="0" w:color="auto"/>
            <w:left w:val="none" w:sz="0" w:space="0" w:color="auto"/>
            <w:bottom w:val="none" w:sz="0" w:space="0" w:color="auto"/>
            <w:right w:val="none" w:sz="0" w:space="0" w:color="auto"/>
          </w:divBdr>
        </w:div>
        <w:div w:id="1069615053">
          <w:marLeft w:val="1800"/>
          <w:marRight w:val="0"/>
          <w:marTop w:val="86"/>
          <w:marBottom w:val="0"/>
          <w:divBdr>
            <w:top w:val="none" w:sz="0" w:space="0" w:color="auto"/>
            <w:left w:val="none" w:sz="0" w:space="0" w:color="auto"/>
            <w:bottom w:val="none" w:sz="0" w:space="0" w:color="auto"/>
            <w:right w:val="none" w:sz="0" w:space="0" w:color="auto"/>
          </w:divBdr>
        </w:div>
        <w:div w:id="910117860">
          <w:marLeft w:val="1800"/>
          <w:marRight w:val="0"/>
          <w:marTop w:val="86"/>
          <w:marBottom w:val="0"/>
          <w:divBdr>
            <w:top w:val="none" w:sz="0" w:space="0" w:color="auto"/>
            <w:left w:val="none" w:sz="0" w:space="0" w:color="auto"/>
            <w:bottom w:val="none" w:sz="0" w:space="0" w:color="auto"/>
            <w:right w:val="none" w:sz="0" w:space="0" w:color="auto"/>
          </w:divBdr>
        </w:div>
        <w:div w:id="1257517421">
          <w:marLeft w:val="1166"/>
          <w:marRight w:val="0"/>
          <w:marTop w:val="86"/>
          <w:marBottom w:val="0"/>
          <w:divBdr>
            <w:top w:val="none" w:sz="0" w:space="0" w:color="auto"/>
            <w:left w:val="none" w:sz="0" w:space="0" w:color="auto"/>
            <w:bottom w:val="none" w:sz="0" w:space="0" w:color="auto"/>
            <w:right w:val="none" w:sz="0" w:space="0" w:color="auto"/>
          </w:divBdr>
        </w:div>
      </w:divsChild>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07950829">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43481020">
      <w:bodyDiv w:val="1"/>
      <w:marLeft w:val="0"/>
      <w:marRight w:val="0"/>
      <w:marTop w:val="0"/>
      <w:marBottom w:val="0"/>
      <w:divBdr>
        <w:top w:val="none" w:sz="0" w:space="0" w:color="auto"/>
        <w:left w:val="none" w:sz="0" w:space="0" w:color="auto"/>
        <w:bottom w:val="none" w:sz="0" w:space="0" w:color="auto"/>
        <w:right w:val="none" w:sz="0" w:space="0" w:color="auto"/>
      </w:divBdr>
      <w:divsChild>
        <w:div w:id="890111802">
          <w:marLeft w:val="547"/>
          <w:marRight w:val="0"/>
          <w:marTop w:val="149"/>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60862458">
      <w:bodyDiv w:val="1"/>
      <w:marLeft w:val="0"/>
      <w:marRight w:val="0"/>
      <w:marTop w:val="0"/>
      <w:marBottom w:val="0"/>
      <w:divBdr>
        <w:top w:val="none" w:sz="0" w:space="0" w:color="auto"/>
        <w:left w:val="none" w:sz="0" w:space="0" w:color="auto"/>
        <w:bottom w:val="none" w:sz="0" w:space="0" w:color="auto"/>
        <w:right w:val="none" w:sz="0" w:space="0" w:color="auto"/>
      </w:divBdr>
      <w:divsChild>
        <w:div w:id="701593979">
          <w:marLeft w:val="547"/>
          <w:marRight w:val="0"/>
          <w:marTop w:val="154"/>
          <w:marBottom w:val="0"/>
          <w:divBdr>
            <w:top w:val="none" w:sz="0" w:space="0" w:color="auto"/>
            <w:left w:val="none" w:sz="0" w:space="0" w:color="auto"/>
            <w:bottom w:val="none" w:sz="0" w:space="0" w:color="auto"/>
            <w:right w:val="none" w:sz="0" w:space="0" w:color="auto"/>
          </w:divBdr>
        </w:div>
        <w:div w:id="1672559525">
          <w:marLeft w:val="1166"/>
          <w:marRight w:val="0"/>
          <w:marTop w:val="134"/>
          <w:marBottom w:val="0"/>
          <w:divBdr>
            <w:top w:val="none" w:sz="0" w:space="0" w:color="auto"/>
            <w:left w:val="none" w:sz="0" w:space="0" w:color="auto"/>
            <w:bottom w:val="none" w:sz="0" w:space="0" w:color="auto"/>
            <w:right w:val="none" w:sz="0" w:space="0" w:color="auto"/>
          </w:divBdr>
        </w:div>
        <w:div w:id="2018724208">
          <w:marLeft w:val="1800"/>
          <w:marRight w:val="0"/>
          <w:marTop w:val="115"/>
          <w:marBottom w:val="0"/>
          <w:divBdr>
            <w:top w:val="none" w:sz="0" w:space="0" w:color="auto"/>
            <w:left w:val="none" w:sz="0" w:space="0" w:color="auto"/>
            <w:bottom w:val="none" w:sz="0" w:space="0" w:color="auto"/>
            <w:right w:val="none" w:sz="0" w:space="0" w:color="auto"/>
          </w:divBdr>
        </w:div>
        <w:div w:id="2146652586">
          <w:marLeft w:val="1166"/>
          <w:marRight w:val="0"/>
          <w:marTop w:val="134"/>
          <w:marBottom w:val="0"/>
          <w:divBdr>
            <w:top w:val="none" w:sz="0" w:space="0" w:color="auto"/>
            <w:left w:val="none" w:sz="0" w:space="0" w:color="auto"/>
            <w:bottom w:val="none" w:sz="0" w:space="0" w:color="auto"/>
            <w:right w:val="none" w:sz="0" w:space="0" w:color="auto"/>
          </w:divBdr>
        </w:div>
        <w:div w:id="1138453599">
          <w:marLeft w:val="1166"/>
          <w:marRight w:val="0"/>
          <w:marTop w:val="134"/>
          <w:marBottom w:val="0"/>
          <w:divBdr>
            <w:top w:val="none" w:sz="0" w:space="0" w:color="auto"/>
            <w:left w:val="none" w:sz="0" w:space="0" w:color="auto"/>
            <w:bottom w:val="none" w:sz="0" w:space="0" w:color="auto"/>
            <w:right w:val="none" w:sz="0" w:space="0" w:color="auto"/>
          </w:divBdr>
        </w:div>
        <w:div w:id="1878084079">
          <w:marLeft w:val="1166"/>
          <w:marRight w:val="0"/>
          <w:marTop w:val="134"/>
          <w:marBottom w:val="0"/>
          <w:divBdr>
            <w:top w:val="none" w:sz="0" w:space="0" w:color="auto"/>
            <w:left w:val="none" w:sz="0" w:space="0" w:color="auto"/>
            <w:bottom w:val="none" w:sz="0" w:space="0" w:color="auto"/>
            <w:right w:val="none" w:sz="0" w:space="0" w:color="auto"/>
          </w:divBdr>
        </w:div>
        <w:div w:id="831288889">
          <w:marLeft w:val="1166"/>
          <w:marRight w:val="0"/>
          <w:marTop w:val="134"/>
          <w:marBottom w:val="0"/>
          <w:divBdr>
            <w:top w:val="none" w:sz="0" w:space="0" w:color="auto"/>
            <w:left w:val="none" w:sz="0" w:space="0" w:color="auto"/>
            <w:bottom w:val="none" w:sz="0" w:space="0" w:color="auto"/>
            <w:right w:val="none" w:sz="0" w:space="0" w:color="auto"/>
          </w:divBdr>
        </w:div>
        <w:div w:id="1164127840">
          <w:marLeft w:val="1166"/>
          <w:marRight w:val="0"/>
          <w:marTop w:val="134"/>
          <w:marBottom w:val="0"/>
          <w:divBdr>
            <w:top w:val="none" w:sz="0" w:space="0" w:color="auto"/>
            <w:left w:val="none" w:sz="0" w:space="0" w:color="auto"/>
            <w:bottom w:val="none" w:sz="0" w:space="0" w:color="auto"/>
            <w:right w:val="none" w:sz="0" w:space="0" w:color="auto"/>
          </w:divBdr>
        </w:div>
      </w:divsChild>
    </w:div>
    <w:div w:id="1061446205">
      <w:bodyDiv w:val="1"/>
      <w:marLeft w:val="0"/>
      <w:marRight w:val="0"/>
      <w:marTop w:val="0"/>
      <w:marBottom w:val="0"/>
      <w:divBdr>
        <w:top w:val="none" w:sz="0" w:space="0" w:color="auto"/>
        <w:left w:val="none" w:sz="0" w:space="0" w:color="auto"/>
        <w:bottom w:val="none" w:sz="0" w:space="0" w:color="auto"/>
        <w:right w:val="none" w:sz="0" w:space="0" w:color="auto"/>
      </w:divBdr>
      <w:divsChild>
        <w:div w:id="223680733">
          <w:marLeft w:val="547"/>
          <w:marRight w:val="0"/>
          <w:marTop w:val="106"/>
          <w:marBottom w:val="0"/>
          <w:divBdr>
            <w:top w:val="none" w:sz="0" w:space="0" w:color="auto"/>
            <w:left w:val="none" w:sz="0" w:space="0" w:color="auto"/>
            <w:bottom w:val="none" w:sz="0" w:space="0" w:color="auto"/>
            <w:right w:val="none" w:sz="0" w:space="0" w:color="auto"/>
          </w:divBdr>
        </w:div>
        <w:div w:id="2065719160">
          <w:marLeft w:val="1166"/>
          <w:marRight w:val="0"/>
          <w:marTop w:val="96"/>
          <w:marBottom w:val="0"/>
          <w:divBdr>
            <w:top w:val="none" w:sz="0" w:space="0" w:color="auto"/>
            <w:left w:val="none" w:sz="0" w:space="0" w:color="auto"/>
            <w:bottom w:val="none" w:sz="0" w:space="0" w:color="auto"/>
            <w:right w:val="none" w:sz="0" w:space="0" w:color="auto"/>
          </w:divBdr>
        </w:div>
        <w:div w:id="976059617">
          <w:marLeft w:val="1166"/>
          <w:marRight w:val="0"/>
          <w:marTop w:val="96"/>
          <w:marBottom w:val="0"/>
          <w:divBdr>
            <w:top w:val="none" w:sz="0" w:space="0" w:color="auto"/>
            <w:left w:val="none" w:sz="0" w:space="0" w:color="auto"/>
            <w:bottom w:val="none" w:sz="0" w:space="0" w:color="auto"/>
            <w:right w:val="none" w:sz="0" w:space="0" w:color="auto"/>
          </w:divBdr>
        </w:div>
        <w:div w:id="1913272275">
          <w:marLeft w:val="1166"/>
          <w:marRight w:val="0"/>
          <w:marTop w:val="96"/>
          <w:marBottom w:val="0"/>
          <w:divBdr>
            <w:top w:val="none" w:sz="0" w:space="0" w:color="auto"/>
            <w:left w:val="none" w:sz="0" w:space="0" w:color="auto"/>
            <w:bottom w:val="none" w:sz="0" w:space="0" w:color="auto"/>
            <w:right w:val="none" w:sz="0" w:space="0" w:color="auto"/>
          </w:divBdr>
        </w:div>
        <w:div w:id="625039973">
          <w:marLeft w:val="1166"/>
          <w:marRight w:val="0"/>
          <w:marTop w:val="96"/>
          <w:marBottom w:val="0"/>
          <w:divBdr>
            <w:top w:val="none" w:sz="0" w:space="0" w:color="auto"/>
            <w:left w:val="none" w:sz="0" w:space="0" w:color="auto"/>
            <w:bottom w:val="none" w:sz="0" w:space="0" w:color="auto"/>
            <w:right w:val="none" w:sz="0" w:space="0" w:color="auto"/>
          </w:divBdr>
        </w:div>
        <w:div w:id="2146000685">
          <w:marLeft w:val="547"/>
          <w:marRight w:val="0"/>
          <w:marTop w:val="106"/>
          <w:marBottom w:val="0"/>
          <w:divBdr>
            <w:top w:val="none" w:sz="0" w:space="0" w:color="auto"/>
            <w:left w:val="none" w:sz="0" w:space="0" w:color="auto"/>
            <w:bottom w:val="none" w:sz="0" w:space="0" w:color="auto"/>
            <w:right w:val="none" w:sz="0" w:space="0" w:color="auto"/>
          </w:divBdr>
        </w:div>
        <w:div w:id="70741000">
          <w:marLeft w:val="547"/>
          <w:marRight w:val="0"/>
          <w:marTop w:val="106"/>
          <w:marBottom w:val="0"/>
          <w:divBdr>
            <w:top w:val="none" w:sz="0" w:space="0" w:color="auto"/>
            <w:left w:val="none" w:sz="0" w:space="0" w:color="auto"/>
            <w:bottom w:val="none" w:sz="0" w:space="0" w:color="auto"/>
            <w:right w:val="none" w:sz="0" w:space="0" w:color="auto"/>
          </w:divBdr>
        </w:div>
        <w:div w:id="1166824209">
          <w:marLeft w:val="547"/>
          <w:marRight w:val="0"/>
          <w:marTop w:val="106"/>
          <w:marBottom w:val="0"/>
          <w:divBdr>
            <w:top w:val="none" w:sz="0" w:space="0" w:color="auto"/>
            <w:left w:val="none" w:sz="0" w:space="0" w:color="auto"/>
            <w:bottom w:val="none" w:sz="0" w:space="0" w:color="auto"/>
            <w:right w:val="none" w:sz="0" w:space="0" w:color="auto"/>
          </w:divBdr>
        </w:div>
        <w:div w:id="455879439">
          <w:marLeft w:val="1166"/>
          <w:marRight w:val="0"/>
          <w:marTop w:val="96"/>
          <w:marBottom w:val="0"/>
          <w:divBdr>
            <w:top w:val="none" w:sz="0" w:space="0" w:color="auto"/>
            <w:left w:val="none" w:sz="0" w:space="0" w:color="auto"/>
            <w:bottom w:val="none" w:sz="0" w:space="0" w:color="auto"/>
            <w:right w:val="none" w:sz="0" w:space="0" w:color="auto"/>
          </w:divBdr>
        </w:div>
        <w:div w:id="590430958">
          <w:marLeft w:val="1800"/>
          <w:marRight w:val="0"/>
          <w:marTop w:val="82"/>
          <w:marBottom w:val="0"/>
          <w:divBdr>
            <w:top w:val="none" w:sz="0" w:space="0" w:color="auto"/>
            <w:left w:val="none" w:sz="0" w:space="0" w:color="auto"/>
            <w:bottom w:val="none" w:sz="0" w:space="0" w:color="auto"/>
            <w:right w:val="none" w:sz="0" w:space="0" w:color="auto"/>
          </w:divBdr>
        </w:div>
        <w:div w:id="104422013">
          <w:marLeft w:val="1800"/>
          <w:marRight w:val="0"/>
          <w:marTop w:val="82"/>
          <w:marBottom w:val="0"/>
          <w:divBdr>
            <w:top w:val="none" w:sz="0" w:space="0" w:color="auto"/>
            <w:left w:val="none" w:sz="0" w:space="0" w:color="auto"/>
            <w:bottom w:val="none" w:sz="0" w:space="0" w:color="auto"/>
            <w:right w:val="none" w:sz="0" w:space="0" w:color="auto"/>
          </w:divBdr>
        </w:div>
        <w:div w:id="1999306990">
          <w:marLeft w:val="547"/>
          <w:marRight w:val="0"/>
          <w:marTop w:val="106"/>
          <w:marBottom w:val="0"/>
          <w:divBdr>
            <w:top w:val="none" w:sz="0" w:space="0" w:color="auto"/>
            <w:left w:val="none" w:sz="0" w:space="0" w:color="auto"/>
            <w:bottom w:val="none" w:sz="0" w:space="0" w:color="auto"/>
            <w:right w:val="none" w:sz="0" w:space="0" w:color="auto"/>
          </w:divBdr>
        </w:div>
        <w:div w:id="1250499514">
          <w:marLeft w:val="1166"/>
          <w:marRight w:val="0"/>
          <w:marTop w:val="96"/>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01028381">
      <w:bodyDiv w:val="1"/>
      <w:marLeft w:val="0"/>
      <w:marRight w:val="0"/>
      <w:marTop w:val="0"/>
      <w:marBottom w:val="0"/>
      <w:divBdr>
        <w:top w:val="none" w:sz="0" w:space="0" w:color="auto"/>
        <w:left w:val="none" w:sz="0" w:space="0" w:color="auto"/>
        <w:bottom w:val="none" w:sz="0" w:space="0" w:color="auto"/>
        <w:right w:val="none" w:sz="0" w:space="0" w:color="auto"/>
      </w:divBdr>
      <w:divsChild>
        <w:div w:id="244149731">
          <w:marLeft w:val="547"/>
          <w:marRight w:val="0"/>
          <w:marTop w:val="86"/>
          <w:marBottom w:val="0"/>
          <w:divBdr>
            <w:top w:val="none" w:sz="0" w:space="0" w:color="auto"/>
            <w:left w:val="none" w:sz="0" w:space="0" w:color="auto"/>
            <w:bottom w:val="none" w:sz="0" w:space="0" w:color="auto"/>
            <w:right w:val="none" w:sz="0" w:space="0" w:color="auto"/>
          </w:divBdr>
        </w:div>
        <w:div w:id="727456377">
          <w:marLeft w:val="1166"/>
          <w:marRight w:val="0"/>
          <w:marTop w:val="72"/>
          <w:marBottom w:val="0"/>
          <w:divBdr>
            <w:top w:val="none" w:sz="0" w:space="0" w:color="auto"/>
            <w:left w:val="none" w:sz="0" w:space="0" w:color="auto"/>
            <w:bottom w:val="none" w:sz="0" w:space="0" w:color="auto"/>
            <w:right w:val="none" w:sz="0" w:space="0" w:color="auto"/>
          </w:divBdr>
        </w:div>
        <w:div w:id="332295464">
          <w:marLeft w:val="1166"/>
          <w:marRight w:val="0"/>
          <w:marTop w:val="72"/>
          <w:marBottom w:val="0"/>
          <w:divBdr>
            <w:top w:val="none" w:sz="0" w:space="0" w:color="auto"/>
            <w:left w:val="none" w:sz="0" w:space="0" w:color="auto"/>
            <w:bottom w:val="none" w:sz="0" w:space="0" w:color="auto"/>
            <w:right w:val="none" w:sz="0" w:space="0" w:color="auto"/>
          </w:divBdr>
        </w:div>
        <w:div w:id="1464886149">
          <w:marLeft w:val="1166"/>
          <w:marRight w:val="0"/>
          <w:marTop w:val="72"/>
          <w:marBottom w:val="0"/>
          <w:divBdr>
            <w:top w:val="none" w:sz="0" w:space="0" w:color="auto"/>
            <w:left w:val="none" w:sz="0" w:space="0" w:color="auto"/>
            <w:bottom w:val="none" w:sz="0" w:space="0" w:color="auto"/>
            <w:right w:val="none" w:sz="0" w:space="0" w:color="auto"/>
          </w:divBdr>
        </w:div>
        <w:div w:id="203948659">
          <w:marLeft w:val="1800"/>
          <w:marRight w:val="0"/>
          <w:marTop w:val="62"/>
          <w:marBottom w:val="0"/>
          <w:divBdr>
            <w:top w:val="none" w:sz="0" w:space="0" w:color="auto"/>
            <w:left w:val="none" w:sz="0" w:space="0" w:color="auto"/>
            <w:bottom w:val="none" w:sz="0" w:space="0" w:color="auto"/>
            <w:right w:val="none" w:sz="0" w:space="0" w:color="auto"/>
          </w:divBdr>
        </w:div>
        <w:div w:id="171995782">
          <w:marLeft w:val="1800"/>
          <w:marRight w:val="0"/>
          <w:marTop w:val="62"/>
          <w:marBottom w:val="0"/>
          <w:divBdr>
            <w:top w:val="none" w:sz="0" w:space="0" w:color="auto"/>
            <w:left w:val="none" w:sz="0" w:space="0" w:color="auto"/>
            <w:bottom w:val="none" w:sz="0" w:space="0" w:color="auto"/>
            <w:right w:val="none" w:sz="0" w:space="0" w:color="auto"/>
          </w:divBdr>
        </w:div>
        <w:div w:id="1846312781">
          <w:marLeft w:val="1800"/>
          <w:marRight w:val="0"/>
          <w:marTop w:val="62"/>
          <w:marBottom w:val="0"/>
          <w:divBdr>
            <w:top w:val="none" w:sz="0" w:space="0" w:color="auto"/>
            <w:left w:val="none" w:sz="0" w:space="0" w:color="auto"/>
            <w:bottom w:val="none" w:sz="0" w:space="0" w:color="auto"/>
            <w:right w:val="none" w:sz="0" w:space="0" w:color="auto"/>
          </w:divBdr>
        </w:div>
        <w:div w:id="93869693">
          <w:marLeft w:val="1166"/>
          <w:marRight w:val="0"/>
          <w:marTop w:val="72"/>
          <w:marBottom w:val="0"/>
          <w:divBdr>
            <w:top w:val="none" w:sz="0" w:space="0" w:color="auto"/>
            <w:left w:val="none" w:sz="0" w:space="0" w:color="auto"/>
            <w:bottom w:val="none" w:sz="0" w:space="0" w:color="auto"/>
            <w:right w:val="none" w:sz="0" w:space="0" w:color="auto"/>
          </w:divBdr>
        </w:div>
        <w:div w:id="630981184">
          <w:marLeft w:val="1166"/>
          <w:marRight w:val="0"/>
          <w:marTop w:val="72"/>
          <w:marBottom w:val="0"/>
          <w:divBdr>
            <w:top w:val="none" w:sz="0" w:space="0" w:color="auto"/>
            <w:left w:val="none" w:sz="0" w:space="0" w:color="auto"/>
            <w:bottom w:val="none" w:sz="0" w:space="0" w:color="auto"/>
            <w:right w:val="none" w:sz="0" w:space="0" w:color="auto"/>
          </w:divBdr>
        </w:div>
        <w:div w:id="904222355">
          <w:marLeft w:val="547"/>
          <w:marRight w:val="0"/>
          <w:marTop w:val="86"/>
          <w:marBottom w:val="0"/>
          <w:divBdr>
            <w:top w:val="none" w:sz="0" w:space="0" w:color="auto"/>
            <w:left w:val="none" w:sz="0" w:space="0" w:color="auto"/>
            <w:bottom w:val="none" w:sz="0" w:space="0" w:color="auto"/>
            <w:right w:val="none" w:sz="0" w:space="0" w:color="auto"/>
          </w:divBdr>
        </w:div>
        <w:div w:id="863447192">
          <w:marLeft w:val="547"/>
          <w:marRight w:val="0"/>
          <w:marTop w:val="86"/>
          <w:marBottom w:val="0"/>
          <w:divBdr>
            <w:top w:val="none" w:sz="0" w:space="0" w:color="auto"/>
            <w:left w:val="none" w:sz="0" w:space="0" w:color="auto"/>
            <w:bottom w:val="none" w:sz="0" w:space="0" w:color="auto"/>
            <w:right w:val="none" w:sz="0" w:space="0" w:color="auto"/>
          </w:divBdr>
        </w:div>
        <w:div w:id="325940561">
          <w:marLeft w:val="1166"/>
          <w:marRight w:val="0"/>
          <w:marTop w:val="72"/>
          <w:marBottom w:val="0"/>
          <w:divBdr>
            <w:top w:val="none" w:sz="0" w:space="0" w:color="auto"/>
            <w:left w:val="none" w:sz="0" w:space="0" w:color="auto"/>
            <w:bottom w:val="none" w:sz="0" w:space="0" w:color="auto"/>
            <w:right w:val="none" w:sz="0" w:space="0" w:color="auto"/>
          </w:divBdr>
        </w:div>
        <w:div w:id="361439787">
          <w:marLeft w:val="1800"/>
          <w:marRight w:val="0"/>
          <w:marTop w:val="62"/>
          <w:marBottom w:val="0"/>
          <w:divBdr>
            <w:top w:val="none" w:sz="0" w:space="0" w:color="auto"/>
            <w:left w:val="none" w:sz="0" w:space="0" w:color="auto"/>
            <w:bottom w:val="none" w:sz="0" w:space="0" w:color="auto"/>
            <w:right w:val="none" w:sz="0" w:space="0" w:color="auto"/>
          </w:divBdr>
        </w:div>
        <w:div w:id="970553330">
          <w:marLeft w:val="1800"/>
          <w:marRight w:val="0"/>
          <w:marTop w:val="62"/>
          <w:marBottom w:val="0"/>
          <w:divBdr>
            <w:top w:val="none" w:sz="0" w:space="0" w:color="auto"/>
            <w:left w:val="none" w:sz="0" w:space="0" w:color="auto"/>
            <w:bottom w:val="none" w:sz="0" w:space="0" w:color="auto"/>
            <w:right w:val="none" w:sz="0" w:space="0" w:color="auto"/>
          </w:divBdr>
        </w:div>
        <w:div w:id="1187937658">
          <w:marLeft w:val="1166"/>
          <w:marRight w:val="0"/>
          <w:marTop w:val="72"/>
          <w:marBottom w:val="0"/>
          <w:divBdr>
            <w:top w:val="none" w:sz="0" w:space="0" w:color="auto"/>
            <w:left w:val="none" w:sz="0" w:space="0" w:color="auto"/>
            <w:bottom w:val="none" w:sz="0" w:space="0" w:color="auto"/>
            <w:right w:val="none" w:sz="0" w:space="0" w:color="auto"/>
          </w:divBdr>
        </w:div>
        <w:div w:id="1853303533">
          <w:marLeft w:val="547"/>
          <w:marRight w:val="0"/>
          <w:marTop w:val="86"/>
          <w:marBottom w:val="0"/>
          <w:divBdr>
            <w:top w:val="none" w:sz="0" w:space="0" w:color="auto"/>
            <w:left w:val="none" w:sz="0" w:space="0" w:color="auto"/>
            <w:bottom w:val="none" w:sz="0" w:space="0" w:color="auto"/>
            <w:right w:val="none" w:sz="0" w:space="0" w:color="auto"/>
          </w:divBdr>
        </w:div>
        <w:div w:id="303202299">
          <w:marLeft w:val="1166"/>
          <w:marRight w:val="0"/>
          <w:marTop w:val="72"/>
          <w:marBottom w:val="0"/>
          <w:divBdr>
            <w:top w:val="none" w:sz="0" w:space="0" w:color="auto"/>
            <w:left w:val="none" w:sz="0" w:space="0" w:color="auto"/>
            <w:bottom w:val="none" w:sz="0" w:space="0" w:color="auto"/>
            <w:right w:val="none" w:sz="0" w:space="0" w:color="auto"/>
          </w:divBdr>
        </w:div>
        <w:div w:id="190998481">
          <w:marLeft w:val="1166"/>
          <w:marRight w:val="0"/>
          <w:marTop w:val="72"/>
          <w:marBottom w:val="0"/>
          <w:divBdr>
            <w:top w:val="none" w:sz="0" w:space="0" w:color="auto"/>
            <w:left w:val="none" w:sz="0" w:space="0" w:color="auto"/>
            <w:bottom w:val="none" w:sz="0" w:space="0" w:color="auto"/>
            <w:right w:val="none" w:sz="0" w:space="0" w:color="auto"/>
          </w:divBdr>
        </w:div>
        <w:div w:id="1644046978">
          <w:marLeft w:val="547"/>
          <w:marRight w:val="0"/>
          <w:marTop w:val="86"/>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82089177">
      <w:bodyDiv w:val="1"/>
      <w:marLeft w:val="0"/>
      <w:marRight w:val="0"/>
      <w:marTop w:val="0"/>
      <w:marBottom w:val="0"/>
      <w:divBdr>
        <w:top w:val="none" w:sz="0" w:space="0" w:color="auto"/>
        <w:left w:val="none" w:sz="0" w:space="0" w:color="auto"/>
        <w:bottom w:val="none" w:sz="0" w:space="0" w:color="auto"/>
        <w:right w:val="none" w:sz="0" w:space="0" w:color="auto"/>
      </w:divBdr>
      <w:divsChild>
        <w:div w:id="47995499">
          <w:marLeft w:val="547"/>
          <w:marRight w:val="0"/>
          <w:marTop w:val="144"/>
          <w:marBottom w:val="0"/>
          <w:divBdr>
            <w:top w:val="none" w:sz="0" w:space="0" w:color="auto"/>
            <w:left w:val="none" w:sz="0" w:space="0" w:color="auto"/>
            <w:bottom w:val="none" w:sz="0" w:space="0" w:color="auto"/>
            <w:right w:val="none" w:sz="0" w:space="0" w:color="auto"/>
          </w:divBdr>
        </w:div>
        <w:div w:id="1670985273">
          <w:marLeft w:val="547"/>
          <w:marRight w:val="0"/>
          <w:marTop w:val="144"/>
          <w:marBottom w:val="0"/>
          <w:divBdr>
            <w:top w:val="none" w:sz="0" w:space="0" w:color="auto"/>
            <w:left w:val="none" w:sz="0" w:space="0" w:color="auto"/>
            <w:bottom w:val="none" w:sz="0" w:space="0" w:color="auto"/>
            <w:right w:val="none" w:sz="0" w:space="0" w:color="auto"/>
          </w:divBdr>
        </w:div>
      </w:divsChild>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264847801">
      <w:bodyDiv w:val="1"/>
      <w:marLeft w:val="0"/>
      <w:marRight w:val="0"/>
      <w:marTop w:val="0"/>
      <w:marBottom w:val="0"/>
      <w:divBdr>
        <w:top w:val="none" w:sz="0" w:space="0" w:color="auto"/>
        <w:left w:val="none" w:sz="0" w:space="0" w:color="auto"/>
        <w:bottom w:val="none" w:sz="0" w:space="0" w:color="auto"/>
        <w:right w:val="none" w:sz="0" w:space="0" w:color="auto"/>
      </w:divBdr>
      <w:divsChild>
        <w:div w:id="1147043181">
          <w:marLeft w:val="547"/>
          <w:marRight w:val="0"/>
          <w:marTop w:val="91"/>
          <w:marBottom w:val="0"/>
          <w:divBdr>
            <w:top w:val="none" w:sz="0" w:space="0" w:color="auto"/>
            <w:left w:val="none" w:sz="0" w:space="0" w:color="auto"/>
            <w:bottom w:val="none" w:sz="0" w:space="0" w:color="auto"/>
            <w:right w:val="none" w:sz="0" w:space="0" w:color="auto"/>
          </w:divBdr>
        </w:div>
        <w:div w:id="1855877241">
          <w:marLeft w:val="1166"/>
          <w:marRight w:val="0"/>
          <w:marTop w:val="72"/>
          <w:marBottom w:val="0"/>
          <w:divBdr>
            <w:top w:val="none" w:sz="0" w:space="0" w:color="auto"/>
            <w:left w:val="none" w:sz="0" w:space="0" w:color="auto"/>
            <w:bottom w:val="none" w:sz="0" w:space="0" w:color="auto"/>
            <w:right w:val="none" w:sz="0" w:space="0" w:color="auto"/>
          </w:divBdr>
        </w:div>
        <w:div w:id="1512178272">
          <w:marLeft w:val="1166"/>
          <w:marRight w:val="0"/>
          <w:marTop w:val="72"/>
          <w:marBottom w:val="0"/>
          <w:divBdr>
            <w:top w:val="none" w:sz="0" w:space="0" w:color="auto"/>
            <w:left w:val="none" w:sz="0" w:space="0" w:color="auto"/>
            <w:bottom w:val="none" w:sz="0" w:space="0" w:color="auto"/>
            <w:right w:val="none" w:sz="0" w:space="0" w:color="auto"/>
          </w:divBdr>
        </w:div>
        <w:div w:id="843010209">
          <w:marLeft w:val="1166"/>
          <w:marRight w:val="0"/>
          <w:marTop w:val="72"/>
          <w:marBottom w:val="0"/>
          <w:divBdr>
            <w:top w:val="none" w:sz="0" w:space="0" w:color="auto"/>
            <w:left w:val="none" w:sz="0" w:space="0" w:color="auto"/>
            <w:bottom w:val="none" w:sz="0" w:space="0" w:color="auto"/>
            <w:right w:val="none" w:sz="0" w:space="0" w:color="auto"/>
          </w:divBdr>
        </w:div>
        <w:div w:id="1596670085">
          <w:marLeft w:val="1166"/>
          <w:marRight w:val="0"/>
          <w:marTop w:val="72"/>
          <w:marBottom w:val="0"/>
          <w:divBdr>
            <w:top w:val="none" w:sz="0" w:space="0" w:color="auto"/>
            <w:left w:val="none" w:sz="0" w:space="0" w:color="auto"/>
            <w:bottom w:val="none" w:sz="0" w:space="0" w:color="auto"/>
            <w:right w:val="none" w:sz="0" w:space="0" w:color="auto"/>
          </w:divBdr>
        </w:div>
        <w:div w:id="1315375636">
          <w:marLeft w:val="1800"/>
          <w:marRight w:val="0"/>
          <w:marTop w:val="72"/>
          <w:marBottom w:val="0"/>
          <w:divBdr>
            <w:top w:val="none" w:sz="0" w:space="0" w:color="auto"/>
            <w:left w:val="none" w:sz="0" w:space="0" w:color="auto"/>
            <w:bottom w:val="none" w:sz="0" w:space="0" w:color="auto"/>
            <w:right w:val="none" w:sz="0" w:space="0" w:color="auto"/>
          </w:divBdr>
        </w:div>
        <w:div w:id="1870994409">
          <w:marLeft w:val="1800"/>
          <w:marRight w:val="0"/>
          <w:marTop w:val="72"/>
          <w:marBottom w:val="0"/>
          <w:divBdr>
            <w:top w:val="none" w:sz="0" w:space="0" w:color="auto"/>
            <w:left w:val="none" w:sz="0" w:space="0" w:color="auto"/>
            <w:bottom w:val="none" w:sz="0" w:space="0" w:color="auto"/>
            <w:right w:val="none" w:sz="0" w:space="0" w:color="auto"/>
          </w:divBdr>
        </w:div>
      </w:divsChild>
    </w:div>
    <w:div w:id="1302466806">
      <w:bodyDiv w:val="1"/>
      <w:marLeft w:val="0"/>
      <w:marRight w:val="0"/>
      <w:marTop w:val="0"/>
      <w:marBottom w:val="0"/>
      <w:divBdr>
        <w:top w:val="none" w:sz="0" w:space="0" w:color="auto"/>
        <w:left w:val="none" w:sz="0" w:space="0" w:color="auto"/>
        <w:bottom w:val="none" w:sz="0" w:space="0" w:color="auto"/>
        <w:right w:val="none" w:sz="0" w:space="0" w:color="auto"/>
      </w:divBdr>
      <w:divsChild>
        <w:div w:id="989551617">
          <w:marLeft w:val="547"/>
          <w:marRight w:val="0"/>
          <w:marTop w:val="91"/>
          <w:marBottom w:val="0"/>
          <w:divBdr>
            <w:top w:val="none" w:sz="0" w:space="0" w:color="auto"/>
            <w:left w:val="none" w:sz="0" w:space="0" w:color="auto"/>
            <w:bottom w:val="none" w:sz="0" w:space="0" w:color="auto"/>
            <w:right w:val="none" w:sz="0" w:space="0" w:color="auto"/>
          </w:divBdr>
        </w:div>
        <w:div w:id="226965696">
          <w:marLeft w:val="1166"/>
          <w:marRight w:val="0"/>
          <w:marTop w:val="72"/>
          <w:marBottom w:val="0"/>
          <w:divBdr>
            <w:top w:val="none" w:sz="0" w:space="0" w:color="auto"/>
            <w:left w:val="none" w:sz="0" w:space="0" w:color="auto"/>
            <w:bottom w:val="none" w:sz="0" w:space="0" w:color="auto"/>
            <w:right w:val="none" w:sz="0" w:space="0" w:color="auto"/>
          </w:divBdr>
        </w:div>
        <w:div w:id="977297228">
          <w:marLeft w:val="1166"/>
          <w:marRight w:val="0"/>
          <w:marTop w:val="72"/>
          <w:marBottom w:val="0"/>
          <w:divBdr>
            <w:top w:val="none" w:sz="0" w:space="0" w:color="auto"/>
            <w:left w:val="none" w:sz="0" w:space="0" w:color="auto"/>
            <w:bottom w:val="none" w:sz="0" w:space="0" w:color="auto"/>
            <w:right w:val="none" w:sz="0" w:space="0" w:color="auto"/>
          </w:divBdr>
        </w:div>
        <w:div w:id="495463658">
          <w:marLeft w:val="1166"/>
          <w:marRight w:val="0"/>
          <w:marTop w:val="72"/>
          <w:marBottom w:val="0"/>
          <w:divBdr>
            <w:top w:val="none" w:sz="0" w:space="0" w:color="auto"/>
            <w:left w:val="none" w:sz="0" w:space="0" w:color="auto"/>
            <w:bottom w:val="none" w:sz="0" w:space="0" w:color="auto"/>
            <w:right w:val="none" w:sz="0" w:space="0" w:color="auto"/>
          </w:divBdr>
        </w:div>
        <w:div w:id="772363467">
          <w:marLeft w:val="1166"/>
          <w:marRight w:val="0"/>
          <w:marTop w:val="72"/>
          <w:marBottom w:val="0"/>
          <w:divBdr>
            <w:top w:val="none" w:sz="0" w:space="0" w:color="auto"/>
            <w:left w:val="none" w:sz="0" w:space="0" w:color="auto"/>
            <w:bottom w:val="none" w:sz="0" w:space="0" w:color="auto"/>
            <w:right w:val="none" w:sz="0" w:space="0" w:color="auto"/>
          </w:divBdr>
        </w:div>
        <w:div w:id="786003462">
          <w:marLeft w:val="1800"/>
          <w:marRight w:val="0"/>
          <w:marTop w:val="72"/>
          <w:marBottom w:val="0"/>
          <w:divBdr>
            <w:top w:val="none" w:sz="0" w:space="0" w:color="auto"/>
            <w:left w:val="none" w:sz="0" w:space="0" w:color="auto"/>
            <w:bottom w:val="none" w:sz="0" w:space="0" w:color="auto"/>
            <w:right w:val="none" w:sz="0" w:space="0" w:color="auto"/>
          </w:divBdr>
        </w:div>
        <w:div w:id="1410035634">
          <w:marLeft w:val="1800"/>
          <w:marRight w:val="0"/>
          <w:marTop w:val="72"/>
          <w:marBottom w:val="0"/>
          <w:divBdr>
            <w:top w:val="none" w:sz="0" w:space="0" w:color="auto"/>
            <w:left w:val="none" w:sz="0" w:space="0" w:color="auto"/>
            <w:bottom w:val="none" w:sz="0" w:space="0" w:color="auto"/>
            <w:right w:val="none" w:sz="0" w:space="0" w:color="auto"/>
          </w:divBdr>
        </w:div>
        <w:div w:id="1984000870">
          <w:marLeft w:val="547"/>
          <w:marRight w:val="0"/>
          <w:marTop w:val="91"/>
          <w:marBottom w:val="0"/>
          <w:divBdr>
            <w:top w:val="none" w:sz="0" w:space="0" w:color="auto"/>
            <w:left w:val="none" w:sz="0" w:space="0" w:color="auto"/>
            <w:bottom w:val="none" w:sz="0" w:space="0" w:color="auto"/>
            <w:right w:val="none" w:sz="0" w:space="0" w:color="auto"/>
          </w:divBdr>
        </w:div>
      </w:divsChild>
    </w:div>
    <w:div w:id="1327635706">
      <w:bodyDiv w:val="1"/>
      <w:marLeft w:val="0"/>
      <w:marRight w:val="0"/>
      <w:marTop w:val="0"/>
      <w:marBottom w:val="0"/>
      <w:divBdr>
        <w:top w:val="none" w:sz="0" w:space="0" w:color="auto"/>
        <w:left w:val="none" w:sz="0" w:space="0" w:color="auto"/>
        <w:bottom w:val="none" w:sz="0" w:space="0" w:color="auto"/>
        <w:right w:val="none" w:sz="0" w:space="0" w:color="auto"/>
      </w:divBdr>
      <w:divsChild>
        <w:div w:id="1954094108">
          <w:marLeft w:val="547"/>
          <w:marRight w:val="0"/>
          <w:marTop w:val="144"/>
          <w:marBottom w:val="0"/>
          <w:divBdr>
            <w:top w:val="none" w:sz="0" w:space="0" w:color="auto"/>
            <w:left w:val="none" w:sz="0" w:space="0" w:color="auto"/>
            <w:bottom w:val="none" w:sz="0" w:space="0" w:color="auto"/>
            <w:right w:val="none" w:sz="0" w:space="0" w:color="auto"/>
          </w:divBdr>
        </w:div>
        <w:div w:id="1809976558">
          <w:marLeft w:val="1166"/>
          <w:marRight w:val="0"/>
          <w:marTop w:val="125"/>
          <w:marBottom w:val="0"/>
          <w:divBdr>
            <w:top w:val="none" w:sz="0" w:space="0" w:color="auto"/>
            <w:left w:val="none" w:sz="0" w:space="0" w:color="auto"/>
            <w:bottom w:val="none" w:sz="0" w:space="0" w:color="auto"/>
            <w:right w:val="none" w:sz="0" w:space="0" w:color="auto"/>
          </w:divBdr>
        </w:div>
        <w:div w:id="879174612">
          <w:marLeft w:val="1166"/>
          <w:marRight w:val="0"/>
          <w:marTop w:val="125"/>
          <w:marBottom w:val="0"/>
          <w:divBdr>
            <w:top w:val="none" w:sz="0" w:space="0" w:color="auto"/>
            <w:left w:val="none" w:sz="0" w:space="0" w:color="auto"/>
            <w:bottom w:val="none" w:sz="0" w:space="0" w:color="auto"/>
            <w:right w:val="none" w:sz="0" w:space="0" w:color="auto"/>
          </w:divBdr>
        </w:div>
        <w:div w:id="471407918">
          <w:marLeft w:val="547"/>
          <w:marRight w:val="0"/>
          <w:marTop w:val="144"/>
          <w:marBottom w:val="0"/>
          <w:divBdr>
            <w:top w:val="none" w:sz="0" w:space="0" w:color="auto"/>
            <w:left w:val="none" w:sz="0" w:space="0" w:color="auto"/>
            <w:bottom w:val="none" w:sz="0" w:space="0" w:color="auto"/>
            <w:right w:val="none" w:sz="0" w:space="0" w:color="auto"/>
          </w:divBdr>
        </w:div>
        <w:div w:id="1481116314">
          <w:marLeft w:val="1166"/>
          <w:marRight w:val="0"/>
          <w:marTop w:val="125"/>
          <w:marBottom w:val="0"/>
          <w:divBdr>
            <w:top w:val="none" w:sz="0" w:space="0" w:color="auto"/>
            <w:left w:val="none" w:sz="0" w:space="0" w:color="auto"/>
            <w:bottom w:val="none" w:sz="0" w:space="0" w:color="auto"/>
            <w:right w:val="none" w:sz="0" w:space="0" w:color="auto"/>
          </w:divBdr>
        </w:div>
        <w:div w:id="1293171768">
          <w:marLeft w:val="1166"/>
          <w:marRight w:val="0"/>
          <w:marTop w:val="125"/>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0743013">
      <w:bodyDiv w:val="1"/>
      <w:marLeft w:val="0"/>
      <w:marRight w:val="0"/>
      <w:marTop w:val="0"/>
      <w:marBottom w:val="0"/>
      <w:divBdr>
        <w:top w:val="none" w:sz="0" w:space="0" w:color="auto"/>
        <w:left w:val="none" w:sz="0" w:space="0" w:color="auto"/>
        <w:bottom w:val="none" w:sz="0" w:space="0" w:color="auto"/>
        <w:right w:val="none" w:sz="0" w:space="0" w:color="auto"/>
      </w:divBdr>
      <w:divsChild>
        <w:div w:id="1416630083">
          <w:marLeft w:val="547"/>
          <w:marRight w:val="0"/>
          <w:marTop w:val="130"/>
          <w:marBottom w:val="0"/>
          <w:divBdr>
            <w:top w:val="none" w:sz="0" w:space="0" w:color="auto"/>
            <w:left w:val="none" w:sz="0" w:space="0" w:color="auto"/>
            <w:bottom w:val="none" w:sz="0" w:space="0" w:color="auto"/>
            <w:right w:val="none" w:sz="0" w:space="0" w:color="auto"/>
          </w:divBdr>
        </w:div>
        <w:div w:id="982344612">
          <w:marLeft w:val="1166"/>
          <w:marRight w:val="0"/>
          <w:marTop w:val="115"/>
          <w:marBottom w:val="0"/>
          <w:divBdr>
            <w:top w:val="none" w:sz="0" w:space="0" w:color="auto"/>
            <w:left w:val="none" w:sz="0" w:space="0" w:color="auto"/>
            <w:bottom w:val="none" w:sz="0" w:space="0" w:color="auto"/>
            <w:right w:val="none" w:sz="0" w:space="0" w:color="auto"/>
          </w:divBdr>
        </w:div>
        <w:div w:id="127751242">
          <w:marLeft w:val="1166"/>
          <w:marRight w:val="0"/>
          <w:marTop w:val="115"/>
          <w:marBottom w:val="0"/>
          <w:divBdr>
            <w:top w:val="none" w:sz="0" w:space="0" w:color="auto"/>
            <w:left w:val="none" w:sz="0" w:space="0" w:color="auto"/>
            <w:bottom w:val="none" w:sz="0" w:space="0" w:color="auto"/>
            <w:right w:val="none" w:sz="0" w:space="0" w:color="auto"/>
          </w:divBdr>
        </w:div>
        <w:div w:id="2087607327">
          <w:marLeft w:val="1166"/>
          <w:marRight w:val="0"/>
          <w:marTop w:val="115"/>
          <w:marBottom w:val="0"/>
          <w:divBdr>
            <w:top w:val="none" w:sz="0" w:space="0" w:color="auto"/>
            <w:left w:val="none" w:sz="0" w:space="0" w:color="auto"/>
            <w:bottom w:val="none" w:sz="0" w:space="0" w:color="auto"/>
            <w:right w:val="none" w:sz="0" w:space="0" w:color="auto"/>
          </w:divBdr>
        </w:div>
        <w:div w:id="663314948">
          <w:marLeft w:val="547"/>
          <w:marRight w:val="0"/>
          <w:marTop w:val="130"/>
          <w:marBottom w:val="0"/>
          <w:divBdr>
            <w:top w:val="none" w:sz="0" w:space="0" w:color="auto"/>
            <w:left w:val="none" w:sz="0" w:space="0" w:color="auto"/>
            <w:bottom w:val="none" w:sz="0" w:space="0" w:color="auto"/>
            <w:right w:val="none" w:sz="0" w:space="0" w:color="auto"/>
          </w:divBdr>
        </w:div>
        <w:div w:id="474756368">
          <w:marLeft w:val="1166"/>
          <w:marRight w:val="0"/>
          <w:marTop w:val="115"/>
          <w:marBottom w:val="0"/>
          <w:divBdr>
            <w:top w:val="none" w:sz="0" w:space="0" w:color="auto"/>
            <w:left w:val="none" w:sz="0" w:space="0" w:color="auto"/>
            <w:bottom w:val="none" w:sz="0" w:space="0" w:color="auto"/>
            <w:right w:val="none" w:sz="0" w:space="0" w:color="auto"/>
          </w:divBdr>
        </w:div>
        <w:div w:id="473370469">
          <w:marLeft w:val="1166"/>
          <w:marRight w:val="0"/>
          <w:marTop w:val="115"/>
          <w:marBottom w:val="0"/>
          <w:divBdr>
            <w:top w:val="none" w:sz="0" w:space="0" w:color="auto"/>
            <w:left w:val="none" w:sz="0" w:space="0" w:color="auto"/>
            <w:bottom w:val="none" w:sz="0" w:space="0" w:color="auto"/>
            <w:right w:val="none" w:sz="0" w:space="0" w:color="auto"/>
          </w:divBdr>
        </w:div>
        <w:div w:id="380398245">
          <w:marLeft w:val="1166"/>
          <w:marRight w:val="0"/>
          <w:marTop w:val="115"/>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41241648">
      <w:bodyDiv w:val="1"/>
      <w:marLeft w:val="0"/>
      <w:marRight w:val="0"/>
      <w:marTop w:val="0"/>
      <w:marBottom w:val="0"/>
      <w:divBdr>
        <w:top w:val="none" w:sz="0" w:space="0" w:color="auto"/>
        <w:left w:val="none" w:sz="0" w:space="0" w:color="auto"/>
        <w:bottom w:val="none" w:sz="0" w:space="0" w:color="auto"/>
        <w:right w:val="none" w:sz="0" w:space="0" w:color="auto"/>
      </w:divBdr>
      <w:divsChild>
        <w:div w:id="550070505">
          <w:marLeft w:val="547"/>
          <w:marRight w:val="0"/>
          <w:marTop w:val="134"/>
          <w:marBottom w:val="0"/>
          <w:divBdr>
            <w:top w:val="none" w:sz="0" w:space="0" w:color="auto"/>
            <w:left w:val="none" w:sz="0" w:space="0" w:color="auto"/>
            <w:bottom w:val="none" w:sz="0" w:space="0" w:color="auto"/>
            <w:right w:val="none" w:sz="0" w:space="0" w:color="auto"/>
          </w:divBdr>
        </w:div>
        <w:div w:id="1131822634">
          <w:marLeft w:val="1166"/>
          <w:marRight w:val="0"/>
          <w:marTop w:val="115"/>
          <w:marBottom w:val="0"/>
          <w:divBdr>
            <w:top w:val="none" w:sz="0" w:space="0" w:color="auto"/>
            <w:left w:val="none" w:sz="0" w:space="0" w:color="auto"/>
            <w:bottom w:val="none" w:sz="0" w:space="0" w:color="auto"/>
            <w:right w:val="none" w:sz="0" w:space="0" w:color="auto"/>
          </w:divBdr>
        </w:div>
      </w:divsChild>
    </w:div>
    <w:div w:id="1581210779">
      <w:bodyDiv w:val="1"/>
      <w:marLeft w:val="0"/>
      <w:marRight w:val="0"/>
      <w:marTop w:val="0"/>
      <w:marBottom w:val="0"/>
      <w:divBdr>
        <w:top w:val="none" w:sz="0" w:space="0" w:color="auto"/>
        <w:left w:val="none" w:sz="0" w:space="0" w:color="auto"/>
        <w:bottom w:val="none" w:sz="0" w:space="0" w:color="auto"/>
        <w:right w:val="none" w:sz="0" w:space="0" w:color="auto"/>
      </w:divBdr>
      <w:divsChild>
        <w:div w:id="951017399">
          <w:marLeft w:val="547"/>
          <w:marRight w:val="0"/>
          <w:marTop w:val="144"/>
          <w:marBottom w:val="0"/>
          <w:divBdr>
            <w:top w:val="none" w:sz="0" w:space="0" w:color="auto"/>
            <w:left w:val="none" w:sz="0" w:space="0" w:color="auto"/>
            <w:bottom w:val="none" w:sz="0" w:space="0" w:color="auto"/>
            <w:right w:val="none" w:sz="0" w:space="0" w:color="auto"/>
          </w:divBdr>
        </w:div>
        <w:div w:id="1310280017">
          <w:marLeft w:val="1166"/>
          <w:marRight w:val="0"/>
          <w:marTop w:val="125"/>
          <w:marBottom w:val="0"/>
          <w:divBdr>
            <w:top w:val="none" w:sz="0" w:space="0" w:color="auto"/>
            <w:left w:val="none" w:sz="0" w:space="0" w:color="auto"/>
            <w:bottom w:val="none" w:sz="0" w:space="0" w:color="auto"/>
            <w:right w:val="none" w:sz="0" w:space="0" w:color="auto"/>
          </w:divBdr>
        </w:div>
        <w:div w:id="1696418682">
          <w:marLeft w:val="1800"/>
          <w:marRight w:val="0"/>
          <w:marTop w:val="106"/>
          <w:marBottom w:val="0"/>
          <w:divBdr>
            <w:top w:val="none" w:sz="0" w:space="0" w:color="auto"/>
            <w:left w:val="none" w:sz="0" w:space="0" w:color="auto"/>
            <w:bottom w:val="none" w:sz="0" w:space="0" w:color="auto"/>
            <w:right w:val="none" w:sz="0" w:space="0" w:color="auto"/>
          </w:divBdr>
        </w:div>
        <w:div w:id="983852187">
          <w:marLeft w:val="1800"/>
          <w:marRight w:val="0"/>
          <w:marTop w:val="106"/>
          <w:marBottom w:val="0"/>
          <w:divBdr>
            <w:top w:val="none" w:sz="0" w:space="0" w:color="auto"/>
            <w:left w:val="none" w:sz="0" w:space="0" w:color="auto"/>
            <w:bottom w:val="none" w:sz="0" w:space="0" w:color="auto"/>
            <w:right w:val="none" w:sz="0" w:space="0" w:color="auto"/>
          </w:divBdr>
        </w:div>
        <w:div w:id="1414400985">
          <w:marLeft w:val="1166"/>
          <w:marRight w:val="0"/>
          <w:marTop w:val="125"/>
          <w:marBottom w:val="0"/>
          <w:divBdr>
            <w:top w:val="none" w:sz="0" w:space="0" w:color="auto"/>
            <w:left w:val="none" w:sz="0" w:space="0" w:color="auto"/>
            <w:bottom w:val="none" w:sz="0" w:space="0" w:color="auto"/>
            <w:right w:val="none" w:sz="0" w:space="0" w:color="auto"/>
          </w:divBdr>
        </w:div>
        <w:div w:id="1028457581">
          <w:marLeft w:val="1800"/>
          <w:marRight w:val="0"/>
          <w:marTop w:val="106"/>
          <w:marBottom w:val="0"/>
          <w:divBdr>
            <w:top w:val="none" w:sz="0" w:space="0" w:color="auto"/>
            <w:left w:val="none" w:sz="0" w:space="0" w:color="auto"/>
            <w:bottom w:val="none" w:sz="0" w:space="0" w:color="auto"/>
            <w:right w:val="none" w:sz="0" w:space="0" w:color="auto"/>
          </w:divBdr>
        </w:div>
        <w:div w:id="105466594">
          <w:marLeft w:val="1166"/>
          <w:marRight w:val="0"/>
          <w:marTop w:val="125"/>
          <w:marBottom w:val="0"/>
          <w:divBdr>
            <w:top w:val="none" w:sz="0" w:space="0" w:color="auto"/>
            <w:left w:val="none" w:sz="0" w:space="0" w:color="auto"/>
            <w:bottom w:val="none" w:sz="0" w:space="0" w:color="auto"/>
            <w:right w:val="none" w:sz="0" w:space="0" w:color="auto"/>
          </w:divBdr>
        </w:div>
      </w:divsChild>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36511983">
      <w:bodyDiv w:val="1"/>
      <w:marLeft w:val="0"/>
      <w:marRight w:val="0"/>
      <w:marTop w:val="0"/>
      <w:marBottom w:val="0"/>
      <w:divBdr>
        <w:top w:val="none" w:sz="0" w:space="0" w:color="auto"/>
        <w:left w:val="none" w:sz="0" w:space="0" w:color="auto"/>
        <w:bottom w:val="none" w:sz="0" w:space="0" w:color="auto"/>
        <w:right w:val="none" w:sz="0" w:space="0" w:color="auto"/>
      </w:divBdr>
      <w:divsChild>
        <w:div w:id="1546719859">
          <w:marLeft w:val="547"/>
          <w:marRight w:val="0"/>
          <w:marTop w:val="134"/>
          <w:marBottom w:val="0"/>
          <w:divBdr>
            <w:top w:val="none" w:sz="0" w:space="0" w:color="auto"/>
            <w:left w:val="none" w:sz="0" w:space="0" w:color="auto"/>
            <w:bottom w:val="none" w:sz="0" w:space="0" w:color="auto"/>
            <w:right w:val="none" w:sz="0" w:space="0" w:color="auto"/>
          </w:divBdr>
        </w:div>
        <w:div w:id="434519346">
          <w:marLeft w:val="1166"/>
          <w:marRight w:val="0"/>
          <w:marTop w:val="134"/>
          <w:marBottom w:val="0"/>
          <w:divBdr>
            <w:top w:val="none" w:sz="0" w:space="0" w:color="auto"/>
            <w:left w:val="none" w:sz="0" w:space="0" w:color="auto"/>
            <w:bottom w:val="none" w:sz="0" w:space="0" w:color="auto"/>
            <w:right w:val="none" w:sz="0" w:space="0" w:color="auto"/>
          </w:divBdr>
        </w:div>
        <w:div w:id="863981101">
          <w:marLeft w:val="547"/>
          <w:marRight w:val="0"/>
          <w:marTop w:val="134"/>
          <w:marBottom w:val="0"/>
          <w:divBdr>
            <w:top w:val="none" w:sz="0" w:space="0" w:color="auto"/>
            <w:left w:val="none" w:sz="0" w:space="0" w:color="auto"/>
            <w:bottom w:val="none" w:sz="0" w:space="0" w:color="auto"/>
            <w:right w:val="none" w:sz="0" w:space="0" w:color="auto"/>
          </w:divBdr>
        </w:div>
        <w:div w:id="391926157">
          <w:marLeft w:val="1166"/>
          <w:marRight w:val="0"/>
          <w:marTop w:val="134"/>
          <w:marBottom w:val="0"/>
          <w:divBdr>
            <w:top w:val="none" w:sz="0" w:space="0" w:color="auto"/>
            <w:left w:val="none" w:sz="0" w:space="0" w:color="auto"/>
            <w:bottom w:val="none" w:sz="0" w:space="0" w:color="auto"/>
            <w:right w:val="none" w:sz="0" w:space="0" w:color="auto"/>
          </w:divBdr>
        </w:div>
        <w:div w:id="1959602049">
          <w:marLeft w:val="1166"/>
          <w:marRight w:val="0"/>
          <w:marTop w:val="134"/>
          <w:marBottom w:val="0"/>
          <w:divBdr>
            <w:top w:val="none" w:sz="0" w:space="0" w:color="auto"/>
            <w:left w:val="none" w:sz="0" w:space="0" w:color="auto"/>
            <w:bottom w:val="none" w:sz="0" w:space="0" w:color="auto"/>
            <w:right w:val="none" w:sz="0" w:space="0" w:color="auto"/>
          </w:divBdr>
        </w:div>
        <w:div w:id="115682488">
          <w:marLeft w:val="1800"/>
          <w:marRight w:val="0"/>
          <w:marTop w:val="134"/>
          <w:marBottom w:val="0"/>
          <w:divBdr>
            <w:top w:val="none" w:sz="0" w:space="0" w:color="auto"/>
            <w:left w:val="none" w:sz="0" w:space="0" w:color="auto"/>
            <w:bottom w:val="none" w:sz="0" w:space="0" w:color="auto"/>
            <w:right w:val="none" w:sz="0" w:space="0" w:color="auto"/>
          </w:divBdr>
        </w:div>
        <w:div w:id="1381248973">
          <w:marLeft w:val="1800"/>
          <w:marRight w:val="0"/>
          <w:marTop w:val="134"/>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2001424605">
      <w:bodyDiv w:val="1"/>
      <w:marLeft w:val="0"/>
      <w:marRight w:val="0"/>
      <w:marTop w:val="0"/>
      <w:marBottom w:val="0"/>
      <w:divBdr>
        <w:top w:val="none" w:sz="0" w:space="0" w:color="auto"/>
        <w:left w:val="none" w:sz="0" w:space="0" w:color="auto"/>
        <w:bottom w:val="none" w:sz="0" w:space="0" w:color="auto"/>
        <w:right w:val="none" w:sz="0" w:space="0" w:color="auto"/>
      </w:divBdr>
      <w:divsChild>
        <w:div w:id="1687050328">
          <w:marLeft w:val="547"/>
          <w:marRight w:val="0"/>
          <w:marTop w:val="120"/>
          <w:marBottom w:val="0"/>
          <w:divBdr>
            <w:top w:val="none" w:sz="0" w:space="0" w:color="auto"/>
            <w:left w:val="none" w:sz="0" w:space="0" w:color="auto"/>
            <w:bottom w:val="none" w:sz="0" w:space="0" w:color="auto"/>
            <w:right w:val="none" w:sz="0" w:space="0" w:color="auto"/>
          </w:divBdr>
        </w:div>
        <w:div w:id="1770395739">
          <w:marLeft w:val="1166"/>
          <w:marRight w:val="0"/>
          <w:marTop w:val="106"/>
          <w:marBottom w:val="0"/>
          <w:divBdr>
            <w:top w:val="none" w:sz="0" w:space="0" w:color="auto"/>
            <w:left w:val="none" w:sz="0" w:space="0" w:color="auto"/>
            <w:bottom w:val="none" w:sz="0" w:space="0" w:color="auto"/>
            <w:right w:val="none" w:sz="0" w:space="0" w:color="auto"/>
          </w:divBdr>
        </w:div>
        <w:div w:id="391273562">
          <w:marLeft w:val="547"/>
          <w:marRight w:val="0"/>
          <w:marTop w:val="120"/>
          <w:marBottom w:val="0"/>
          <w:divBdr>
            <w:top w:val="none" w:sz="0" w:space="0" w:color="auto"/>
            <w:left w:val="none" w:sz="0" w:space="0" w:color="auto"/>
            <w:bottom w:val="none" w:sz="0" w:space="0" w:color="auto"/>
            <w:right w:val="none" w:sz="0" w:space="0" w:color="auto"/>
          </w:divBdr>
        </w:div>
        <w:div w:id="340090111">
          <w:marLeft w:val="1166"/>
          <w:marRight w:val="0"/>
          <w:marTop w:val="106"/>
          <w:marBottom w:val="0"/>
          <w:divBdr>
            <w:top w:val="none" w:sz="0" w:space="0" w:color="auto"/>
            <w:left w:val="none" w:sz="0" w:space="0" w:color="auto"/>
            <w:bottom w:val="none" w:sz="0" w:space="0" w:color="auto"/>
            <w:right w:val="none" w:sz="0" w:space="0" w:color="auto"/>
          </w:divBdr>
        </w:div>
        <w:div w:id="1371106659">
          <w:marLeft w:val="1166"/>
          <w:marRight w:val="0"/>
          <w:marTop w:val="106"/>
          <w:marBottom w:val="0"/>
          <w:divBdr>
            <w:top w:val="none" w:sz="0" w:space="0" w:color="auto"/>
            <w:left w:val="none" w:sz="0" w:space="0" w:color="auto"/>
            <w:bottom w:val="none" w:sz="0" w:space="0" w:color="auto"/>
            <w:right w:val="none" w:sz="0" w:space="0" w:color="auto"/>
          </w:divBdr>
        </w:div>
        <w:div w:id="133330885">
          <w:marLeft w:val="1800"/>
          <w:marRight w:val="0"/>
          <w:marTop w:val="91"/>
          <w:marBottom w:val="0"/>
          <w:divBdr>
            <w:top w:val="none" w:sz="0" w:space="0" w:color="auto"/>
            <w:left w:val="none" w:sz="0" w:space="0" w:color="auto"/>
            <w:bottom w:val="none" w:sz="0" w:space="0" w:color="auto"/>
            <w:right w:val="none" w:sz="0" w:space="0" w:color="auto"/>
          </w:divBdr>
        </w:div>
        <w:div w:id="1767530874">
          <w:marLeft w:val="1800"/>
          <w:marRight w:val="0"/>
          <w:marTop w:val="91"/>
          <w:marBottom w:val="0"/>
          <w:divBdr>
            <w:top w:val="none" w:sz="0" w:space="0" w:color="auto"/>
            <w:left w:val="none" w:sz="0" w:space="0" w:color="auto"/>
            <w:bottom w:val="none" w:sz="0" w:space="0" w:color="auto"/>
            <w:right w:val="none" w:sz="0" w:space="0" w:color="auto"/>
          </w:divBdr>
        </w:div>
        <w:div w:id="50540854">
          <w:marLeft w:val="1166"/>
          <w:marRight w:val="0"/>
          <w:marTop w:val="106"/>
          <w:marBottom w:val="0"/>
          <w:divBdr>
            <w:top w:val="none" w:sz="0" w:space="0" w:color="auto"/>
            <w:left w:val="none" w:sz="0" w:space="0" w:color="auto"/>
            <w:bottom w:val="none" w:sz="0" w:space="0" w:color="auto"/>
            <w:right w:val="none" w:sz="0" w:space="0" w:color="auto"/>
          </w:divBdr>
        </w:div>
        <w:div w:id="1251545482">
          <w:marLeft w:val="1166"/>
          <w:marRight w:val="0"/>
          <w:marTop w:val="106"/>
          <w:marBottom w:val="0"/>
          <w:divBdr>
            <w:top w:val="none" w:sz="0" w:space="0" w:color="auto"/>
            <w:left w:val="none" w:sz="0" w:space="0" w:color="auto"/>
            <w:bottom w:val="none" w:sz="0" w:space="0" w:color="auto"/>
            <w:right w:val="none" w:sz="0" w:space="0" w:color="auto"/>
          </w:divBdr>
        </w:div>
        <w:div w:id="158154034">
          <w:marLeft w:val="547"/>
          <w:marRight w:val="0"/>
          <w:marTop w:val="120"/>
          <w:marBottom w:val="0"/>
          <w:divBdr>
            <w:top w:val="none" w:sz="0" w:space="0" w:color="auto"/>
            <w:left w:val="none" w:sz="0" w:space="0" w:color="auto"/>
            <w:bottom w:val="none" w:sz="0" w:space="0" w:color="auto"/>
            <w:right w:val="none" w:sz="0" w:space="0" w:color="auto"/>
          </w:divBdr>
        </w:div>
        <w:div w:id="853425393">
          <w:marLeft w:val="547"/>
          <w:marRight w:val="0"/>
          <w:marTop w:val="120"/>
          <w:marBottom w:val="0"/>
          <w:divBdr>
            <w:top w:val="none" w:sz="0" w:space="0" w:color="auto"/>
            <w:left w:val="none" w:sz="0" w:space="0" w:color="auto"/>
            <w:bottom w:val="none" w:sz="0" w:space="0" w:color="auto"/>
            <w:right w:val="none" w:sz="0" w:space="0" w:color="auto"/>
          </w:divBdr>
        </w:div>
      </w:divsChild>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05039719">
      <w:bodyDiv w:val="1"/>
      <w:marLeft w:val="0"/>
      <w:marRight w:val="0"/>
      <w:marTop w:val="0"/>
      <w:marBottom w:val="0"/>
      <w:divBdr>
        <w:top w:val="none" w:sz="0" w:space="0" w:color="auto"/>
        <w:left w:val="none" w:sz="0" w:space="0" w:color="auto"/>
        <w:bottom w:val="none" w:sz="0" w:space="0" w:color="auto"/>
        <w:right w:val="none" w:sz="0" w:space="0" w:color="auto"/>
      </w:divBdr>
      <w:divsChild>
        <w:div w:id="1236627046">
          <w:marLeft w:val="547"/>
          <w:marRight w:val="0"/>
          <w:marTop w:val="91"/>
          <w:marBottom w:val="0"/>
          <w:divBdr>
            <w:top w:val="none" w:sz="0" w:space="0" w:color="auto"/>
            <w:left w:val="none" w:sz="0" w:space="0" w:color="auto"/>
            <w:bottom w:val="none" w:sz="0" w:space="0" w:color="auto"/>
            <w:right w:val="none" w:sz="0" w:space="0" w:color="auto"/>
          </w:divBdr>
        </w:div>
        <w:div w:id="389546521">
          <w:marLeft w:val="1166"/>
          <w:marRight w:val="0"/>
          <w:marTop w:val="72"/>
          <w:marBottom w:val="0"/>
          <w:divBdr>
            <w:top w:val="none" w:sz="0" w:space="0" w:color="auto"/>
            <w:left w:val="none" w:sz="0" w:space="0" w:color="auto"/>
            <w:bottom w:val="none" w:sz="0" w:space="0" w:color="auto"/>
            <w:right w:val="none" w:sz="0" w:space="0" w:color="auto"/>
          </w:divBdr>
        </w:div>
        <w:div w:id="1365181237">
          <w:marLeft w:val="1800"/>
          <w:marRight w:val="0"/>
          <w:marTop w:val="62"/>
          <w:marBottom w:val="0"/>
          <w:divBdr>
            <w:top w:val="none" w:sz="0" w:space="0" w:color="auto"/>
            <w:left w:val="none" w:sz="0" w:space="0" w:color="auto"/>
            <w:bottom w:val="none" w:sz="0" w:space="0" w:color="auto"/>
            <w:right w:val="none" w:sz="0" w:space="0" w:color="auto"/>
          </w:divBdr>
        </w:div>
        <w:div w:id="1036195716">
          <w:marLeft w:val="1800"/>
          <w:marRight w:val="0"/>
          <w:marTop w:val="62"/>
          <w:marBottom w:val="0"/>
          <w:divBdr>
            <w:top w:val="none" w:sz="0" w:space="0" w:color="auto"/>
            <w:left w:val="none" w:sz="0" w:space="0" w:color="auto"/>
            <w:bottom w:val="none" w:sz="0" w:space="0" w:color="auto"/>
            <w:right w:val="none" w:sz="0" w:space="0" w:color="auto"/>
          </w:divBdr>
        </w:div>
        <w:div w:id="1449154436">
          <w:marLeft w:val="1166"/>
          <w:marRight w:val="0"/>
          <w:marTop w:val="72"/>
          <w:marBottom w:val="0"/>
          <w:divBdr>
            <w:top w:val="none" w:sz="0" w:space="0" w:color="auto"/>
            <w:left w:val="none" w:sz="0" w:space="0" w:color="auto"/>
            <w:bottom w:val="none" w:sz="0" w:space="0" w:color="auto"/>
            <w:right w:val="none" w:sz="0" w:space="0" w:color="auto"/>
          </w:divBdr>
        </w:div>
        <w:div w:id="1777405845">
          <w:marLeft w:val="1800"/>
          <w:marRight w:val="0"/>
          <w:marTop w:val="62"/>
          <w:marBottom w:val="0"/>
          <w:divBdr>
            <w:top w:val="none" w:sz="0" w:space="0" w:color="auto"/>
            <w:left w:val="none" w:sz="0" w:space="0" w:color="auto"/>
            <w:bottom w:val="none" w:sz="0" w:space="0" w:color="auto"/>
            <w:right w:val="none" w:sz="0" w:space="0" w:color="auto"/>
          </w:divBdr>
        </w:div>
        <w:div w:id="1747874648">
          <w:marLeft w:val="1800"/>
          <w:marRight w:val="0"/>
          <w:marTop w:val="62"/>
          <w:marBottom w:val="0"/>
          <w:divBdr>
            <w:top w:val="none" w:sz="0" w:space="0" w:color="auto"/>
            <w:left w:val="none" w:sz="0" w:space="0" w:color="auto"/>
            <w:bottom w:val="none" w:sz="0" w:space="0" w:color="auto"/>
            <w:right w:val="none" w:sz="0" w:space="0" w:color="auto"/>
          </w:divBdr>
        </w:div>
        <w:div w:id="1084956543">
          <w:marLeft w:val="1800"/>
          <w:marRight w:val="0"/>
          <w:marTop w:val="62"/>
          <w:marBottom w:val="0"/>
          <w:divBdr>
            <w:top w:val="none" w:sz="0" w:space="0" w:color="auto"/>
            <w:left w:val="none" w:sz="0" w:space="0" w:color="auto"/>
            <w:bottom w:val="none" w:sz="0" w:space="0" w:color="auto"/>
            <w:right w:val="none" w:sz="0" w:space="0" w:color="auto"/>
          </w:divBdr>
        </w:div>
        <w:div w:id="652950768">
          <w:marLeft w:val="1166"/>
          <w:marRight w:val="0"/>
          <w:marTop w:val="72"/>
          <w:marBottom w:val="0"/>
          <w:divBdr>
            <w:top w:val="none" w:sz="0" w:space="0" w:color="auto"/>
            <w:left w:val="none" w:sz="0" w:space="0" w:color="auto"/>
            <w:bottom w:val="none" w:sz="0" w:space="0" w:color="auto"/>
            <w:right w:val="none" w:sz="0" w:space="0" w:color="auto"/>
          </w:divBdr>
        </w:div>
        <w:div w:id="329723959">
          <w:marLeft w:val="1800"/>
          <w:marRight w:val="0"/>
          <w:marTop w:val="62"/>
          <w:marBottom w:val="0"/>
          <w:divBdr>
            <w:top w:val="none" w:sz="0" w:space="0" w:color="auto"/>
            <w:left w:val="none" w:sz="0" w:space="0" w:color="auto"/>
            <w:bottom w:val="none" w:sz="0" w:space="0" w:color="auto"/>
            <w:right w:val="none" w:sz="0" w:space="0" w:color="auto"/>
          </w:divBdr>
        </w:div>
        <w:div w:id="184708226">
          <w:marLeft w:val="1166"/>
          <w:marRight w:val="0"/>
          <w:marTop w:val="72"/>
          <w:marBottom w:val="0"/>
          <w:divBdr>
            <w:top w:val="none" w:sz="0" w:space="0" w:color="auto"/>
            <w:left w:val="none" w:sz="0" w:space="0" w:color="auto"/>
            <w:bottom w:val="none" w:sz="0" w:space="0" w:color="auto"/>
            <w:right w:val="none" w:sz="0" w:space="0" w:color="auto"/>
          </w:divBdr>
        </w:div>
        <w:div w:id="1523713651">
          <w:marLeft w:val="1800"/>
          <w:marRight w:val="0"/>
          <w:marTop w:val="62"/>
          <w:marBottom w:val="0"/>
          <w:divBdr>
            <w:top w:val="none" w:sz="0" w:space="0" w:color="auto"/>
            <w:left w:val="none" w:sz="0" w:space="0" w:color="auto"/>
            <w:bottom w:val="none" w:sz="0" w:space="0" w:color="auto"/>
            <w:right w:val="none" w:sz="0" w:space="0" w:color="auto"/>
          </w:divBdr>
        </w:div>
      </w:divsChild>
    </w:div>
    <w:div w:id="2012638587">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5808</TotalTime>
  <Pages>7</Pages>
  <Words>3190</Words>
  <Characters>18187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21335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CATT_RAN4#102</cp:lastModifiedBy>
  <cp:revision>3551</cp:revision>
  <cp:lastPrinted>2009-01-30T04:53:00Z</cp:lastPrinted>
  <dcterms:created xsi:type="dcterms:W3CDTF">2021-01-07T09:00:00Z</dcterms:created>
  <dcterms:modified xsi:type="dcterms:W3CDTF">2022-02-14T14:07:00Z</dcterms:modified>
</cp:coreProperties>
</file>